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45" w:rsidRPr="00B75345" w:rsidRDefault="00AA3D45" w:rsidP="00AA3D45">
      <w:pPr>
        <w:pStyle w:val="NoSpacing"/>
        <w:jc w:val="center"/>
        <w:rPr>
          <w:rFonts w:ascii="Times New Roman" w:hAnsi="Times New Roman" w:cs="Times New Roman"/>
          <w:b/>
          <w:sz w:val="24"/>
          <w:szCs w:val="24"/>
          <w:lang w:val="sr-Latn-CS"/>
        </w:rPr>
      </w:pPr>
      <w:r>
        <w:rPr>
          <w:rFonts w:ascii="Times New Roman" w:hAnsi="Times New Roman" w:cs="Times New Roman"/>
          <w:b/>
          <w:sz w:val="24"/>
          <w:szCs w:val="24"/>
          <w:lang w:val="sr-Cyrl-RS"/>
        </w:rPr>
        <w:t>ЧЛАНОВИ ОДЛУКЕ О ПРИБАВЉАЊУ, РАСПОЛАГАЊУ И УПРАВЉАЊУ СТВАРИМА У ЈАВНОЈ СВОЈИНИ ГРАДА НИША</w:t>
      </w:r>
      <w:r w:rsidRPr="00B75345">
        <w:rPr>
          <w:rFonts w:ascii="Times New Roman" w:hAnsi="Times New Roman" w:cs="Times New Roman"/>
          <w:b/>
          <w:sz w:val="24"/>
          <w:szCs w:val="24"/>
          <w:lang w:val="sr-Cyrl-RS"/>
        </w:rPr>
        <w:t xml:space="preserve"> КОЈИ СЕ МЕЊАЈУ И ДОПУЊУЈУ</w:t>
      </w:r>
    </w:p>
    <w:p w:rsidR="00AA3D45" w:rsidRPr="00B75345" w:rsidRDefault="00AA3D45" w:rsidP="00AA3D45">
      <w:pPr>
        <w:pStyle w:val="NoSpacing"/>
        <w:jc w:val="both"/>
        <w:rPr>
          <w:rFonts w:ascii="Times New Roman" w:hAnsi="Times New Roman" w:cs="Times New Roman"/>
          <w:b/>
          <w:sz w:val="24"/>
          <w:szCs w:val="24"/>
          <w:lang w:val="sr-Latn-CS"/>
        </w:rPr>
      </w:pPr>
    </w:p>
    <w:p w:rsidR="00AA3D45" w:rsidRPr="00312B3A" w:rsidRDefault="00AA3D45" w:rsidP="00AA3D45">
      <w:pPr>
        <w:pStyle w:val="NoSpacing"/>
        <w:rPr>
          <w:rFonts w:ascii="Times New Roman" w:hAnsi="Times New Roman" w:cs="Times New Roman"/>
          <w:b/>
          <w:sz w:val="24"/>
          <w:szCs w:val="24"/>
          <w:lang w:val="sr-Latn-RS"/>
        </w:rPr>
      </w:pP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1</w:t>
      </w:r>
      <w:r>
        <w:rPr>
          <w:rFonts w:ascii="Times New Roman" w:hAnsi="Times New Roman" w:cs="Times New Roman"/>
          <w:bCs/>
          <w:sz w:val="24"/>
          <w:szCs w:val="24"/>
          <w:lang w:val="sr-Cyrl-CS"/>
        </w:rPr>
        <w:t>4</w:t>
      </w:r>
      <w:r>
        <w:rPr>
          <w:rFonts w:ascii="Times New Roman" w:hAnsi="Times New Roman" w:cs="Times New Roman"/>
          <w:bCs/>
          <w:sz w:val="24"/>
          <w:szCs w:val="24"/>
          <w:lang w:val="ru-RU"/>
        </w:rPr>
        <w:t>.</w:t>
      </w:r>
    </w:p>
    <w:p w:rsidR="00AA3D45" w:rsidRDefault="00AA3D45" w:rsidP="00AA3D45">
      <w:pPr>
        <w:pStyle w:val="NoSpacing"/>
        <w:jc w:val="center"/>
        <w:rPr>
          <w:rFonts w:ascii="Times New Roman" w:hAnsi="Times New Roman" w:cs="Times New Roman"/>
          <w:bCs/>
          <w:sz w:val="24"/>
          <w:szCs w:val="24"/>
          <w:lang w:val="ru-RU"/>
        </w:rPr>
      </w:pPr>
    </w:p>
    <w:p w:rsidR="00AA3D45" w:rsidRDefault="00AA3D45" w:rsidP="00AA3D45">
      <w:pPr>
        <w:pStyle w:val="NoSpacing"/>
        <w:jc w:val="both"/>
        <w:rPr>
          <w:rFonts w:ascii="Times New Roman" w:hAnsi="Times New Roman" w:cs="Times New Roman"/>
          <w:b/>
          <w:bCs/>
          <w:sz w:val="24"/>
          <w:szCs w:val="24"/>
          <w:u w:val="single"/>
          <w:lang w:val="ru-RU"/>
        </w:rPr>
      </w:pPr>
      <w:r>
        <w:rPr>
          <w:rFonts w:ascii="Times New Roman" w:hAnsi="Times New Roman" w:cs="Times New Roman"/>
          <w:b/>
          <w:bCs/>
          <w:sz w:val="24"/>
          <w:szCs w:val="24"/>
          <w:lang w:val="ru-RU"/>
        </w:rPr>
        <w:t xml:space="preserve">        </w:t>
      </w:r>
      <w:r>
        <w:rPr>
          <w:rFonts w:ascii="Times New Roman" w:hAnsi="Times New Roman" w:cs="Times New Roman"/>
          <w:b/>
          <w:bCs/>
          <w:sz w:val="24"/>
          <w:szCs w:val="24"/>
          <w:u w:val="single"/>
          <w:lang w:val="ru-RU"/>
        </w:rPr>
        <w:t xml:space="preserve">Одржавање непокретних ствари у јавној својини Града врши се у складу са годишњим планом који доноси служба надлежна за одржавање. </w:t>
      </w:r>
    </w:p>
    <w:p w:rsidR="00AA3D45" w:rsidRDefault="00AA3D45" w:rsidP="00AA3D45">
      <w:pPr>
        <w:pStyle w:val="NoSpacing"/>
        <w:jc w:val="both"/>
        <w:rPr>
          <w:rFonts w:ascii="Times New Roman" w:hAnsi="Times New Roman" w:cs="Times New Roman"/>
          <w:b/>
          <w:bCs/>
          <w:sz w:val="24"/>
          <w:szCs w:val="24"/>
          <w:u w:val="single"/>
          <w:lang w:val="ru-RU"/>
        </w:rPr>
      </w:pPr>
      <w:r>
        <w:rPr>
          <w:rFonts w:ascii="Times New Roman" w:hAnsi="Times New Roman" w:cs="Times New Roman"/>
          <w:bCs/>
          <w:sz w:val="24"/>
          <w:szCs w:val="24"/>
          <w:lang w:val="ru-RU"/>
        </w:rPr>
        <w:t xml:space="preserve">        </w:t>
      </w:r>
      <w:r>
        <w:rPr>
          <w:rFonts w:ascii="Times New Roman" w:hAnsi="Times New Roman" w:cs="Times New Roman"/>
          <w:b/>
          <w:bCs/>
          <w:sz w:val="24"/>
          <w:szCs w:val="24"/>
          <w:u w:val="single"/>
          <w:lang w:val="ru-RU"/>
        </w:rPr>
        <w:t xml:space="preserve">Инвестиционо и текуће одржавање непокретних ствари у својини Града поверава се Јавном предузећу за стамбене услуге "Нишстан" Ниш, осим у случају када се инвестиционо одржавање врши по захтеву закупца у складу са Уредбом.   </w:t>
      </w:r>
    </w:p>
    <w:p w:rsidR="00AA3D45" w:rsidRDefault="00AA3D45" w:rsidP="00AA3D45">
      <w:pPr>
        <w:pStyle w:val="NoSpacing"/>
        <w:jc w:val="both"/>
        <w:rPr>
          <w:rFonts w:ascii="Times New Roman" w:hAnsi="Times New Roman" w:cs="Times New Roman"/>
          <w:b/>
          <w:bCs/>
          <w:sz w:val="24"/>
          <w:szCs w:val="24"/>
          <w:u w:val="single"/>
          <w:lang w:val="ru-RU"/>
        </w:rPr>
      </w:pPr>
      <w:r>
        <w:rPr>
          <w:rFonts w:ascii="Times New Roman" w:hAnsi="Times New Roman" w:cs="Times New Roman"/>
          <w:bCs/>
          <w:sz w:val="24"/>
          <w:szCs w:val="24"/>
          <w:lang w:val="ru-RU"/>
        </w:rPr>
        <w:t xml:space="preserve">        </w:t>
      </w:r>
      <w:r>
        <w:rPr>
          <w:rFonts w:ascii="Times New Roman" w:hAnsi="Times New Roman" w:cs="Times New Roman"/>
          <w:b/>
          <w:bCs/>
          <w:sz w:val="24"/>
          <w:szCs w:val="24"/>
          <w:u w:val="single"/>
          <w:lang w:val="ru-RU"/>
        </w:rPr>
        <w:t xml:space="preserve">Надзор над радовима из става 2. овог члана, поверава се Јавном предузећу "Дирекција за изградњу Града Ниша". </w:t>
      </w:r>
    </w:p>
    <w:p w:rsidR="00AA3D45" w:rsidRDefault="00AA3D45" w:rsidP="00AA3D45">
      <w:pPr>
        <w:pStyle w:val="NoSpacing"/>
        <w:jc w:val="both"/>
        <w:rPr>
          <w:rFonts w:ascii="Times New Roman" w:hAnsi="Times New Roman" w:cs="Times New Roman"/>
          <w:bCs/>
          <w:sz w:val="24"/>
          <w:szCs w:val="24"/>
          <w:lang w:val="ru-RU"/>
        </w:rPr>
      </w:pPr>
    </w:p>
    <w:p w:rsidR="00AA3D45" w:rsidRDefault="00AA3D45" w:rsidP="00AA3D45">
      <w:pPr>
        <w:pStyle w:val="NoSpacing"/>
        <w:jc w:val="both"/>
        <w:rPr>
          <w:rFonts w:ascii="Times New Roman" w:hAnsi="Times New Roman" w:cs="Times New Roman"/>
          <w:b/>
          <w:bCs/>
          <w:sz w:val="24"/>
          <w:szCs w:val="24"/>
          <w:lang w:val="ru-RU"/>
        </w:rPr>
      </w:pPr>
    </w:p>
    <w:p w:rsidR="00AA3D45" w:rsidRDefault="00AA3D45" w:rsidP="00AA3D45">
      <w:pPr>
        <w:pStyle w:val="NoSpacing"/>
        <w:jc w:val="both"/>
        <w:rPr>
          <w:rFonts w:ascii="Times New Roman" w:hAnsi="Times New Roman" w:cs="Times New Roman"/>
          <w:b/>
          <w:bCs/>
          <w:sz w:val="24"/>
          <w:szCs w:val="24"/>
          <w:u w:val="single"/>
          <w:lang w:val="ru-RU"/>
        </w:rPr>
      </w:pPr>
      <w:r>
        <w:rPr>
          <w:rFonts w:ascii="Times New Roman" w:hAnsi="Times New Roman" w:cs="Times New Roman"/>
          <w:b/>
          <w:bCs/>
          <w:sz w:val="24"/>
          <w:szCs w:val="24"/>
          <w:u w:val="single"/>
          <w:lang w:val="ru-RU"/>
        </w:rPr>
        <w:t>3. Коришћење непокретних ствари у јавној својини</w:t>
      </w:r>
    </w:p>
    <w:p w:rsidR="00AA3D45" w:rsidRDefault="00AA3D45" w:rsidP="00AA3D45">
      <w:pPr>
        <w:pStyle w:val="NoSpacing"/>
        <w:jc w:val="both"/>
        <w:rPr>
          <w:rFonts w:ascii="Times New Roman" w:hAnsi="Times New Roman" w:cs="Times New Roman"/>
          <w:bCs/>
          <w:sz w:val="24"/>
          <w:szCs w:val="24"/>
          <w:u w:val="single"/>
          <w:lang w:val="ru-RU"/>
        </w:rPr>
      </w:pPr>
    </w:p>
    <w:p w:rsidR="00AA3D45" w:rsidRDefault="00AA3D45" w:rsidP="00AA3D45">
      <w:pPr>
        <w:pStyle w:val="NoSpacing"/>
        <w:jc w:val="both"/>
        <w:rPr>
          <w:rFonts w:ascii="Times New Roman" w:hAnsi="Times New Roman" w:cs="Times New Roman"/>
          <w:bCs/>
          <w:sz w:val="24"/>
          <w:szCs w:val="24"/>
          <w:lang w:val="ru-RU"/>
        </w:rPr>
      </w:pPr>
      <w:bookmarkStart w:id="0" w:name="clan_24"/>
      <w:bookmarkEnd w:id="0"/>
      <w:r>
        <w:rPr>
          <w:rFonts w:ascii="Times New Roman" w:hAnsi="Times New Roman" w:cs="Times New Roman"/>
          <w:bCs/>
          <w:sz w:val="24"/>
          <w:szCs w:val="24"/>
          <w:lang w:val="ru-RU"/>
        </w:rPr>
        <w:t xml:space="preserve">  </w:t>
      </w: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2</w:t>
      </w:r>
      <w:r>
        <w:rPr>
          <w:rFonts w:ascii="Times New Roman" w:hAnsi="Times New Roman" w:cs="Times New Roman"/>
          <w:bCs/>
          <w:sz w:val="24"/>
          <w:szCs w:val="24"/>
          <w:lang w:val="sr-Cyrl-CS"/>
        </w:rPr>
        <w:t>3</w:t>
      </w:r>
      <w:r>
        <w:rPr>
          <w:rFonts w:ascii="Times New Roman" w:hAnsi="Times New Roman" w:cs="Times New Roman"/>
          <w:bCs/>
          <w:sz w:val="24"/>
          <w:szCs w:val="24"/>
          <w:lang w:val="ru-RU"/>
        </w:rPr>
        <w:t>.</w:t>
      </w:r>
    </w:p>
    <w:p w:rsidR="00AA3D45" w:rsidRDefault="00AA3D45" w:rsidP="00AA3D45">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Непокретне ствари у јавној својини Града дају се на коришћење, без накнаде и без права уписа у јавне књиге о евиденцији непокретности, уз обавезу плаћања комуналних трошкова за период коришћења тих ствари, директним и индиректним корисницима буџетских средстава Републике Србије и Града Ниша.</w:t>
      </w:r>
    </w:p>
    <w:p w:rsidR="00AA3D45" w:rsidRPr="00312B3A" w:rsidRDefault="00AA3D45" w:rsidP="00AA3D45">
      <w:pPr>
        <w:pStyle w:val="NoSpacing"/>
        <w:jc w:val="both"/>
        <w:rPr>
          <w:rFonts w:ascii="Times New Roman" w:hAnsi="Times New Roman" w:cs="Times New Roman"/>
          <w:sz w:val="24"/>
          <w:szCs w:val="24"/>
          <w:lang w:val="sr-Latn-RS"/>
        </w:rPr>
      </w:pP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2</w:t>
      </w:r>
      <w:r>
        <w:rPr>
          <w:rFonts w:ascii="Times New Roman" w:hAnsi="Times New Roman" w:cs="Times New Roman"/>
          <w:bCs/>
          <w:sz w:val="24"/>
          <w:szCs w:val="24"/>
          <w:lang w:val="sr-Cyrl-CS"/>
        </w:rPr>
        <w:t>4</w:t>
      </w:r>
      <w:r>
        <w:rPr>
          <w:rFonts w:ascii="Times New Roman" w:hAnsi="Times New Roman" w:cs="Times New Roman"/>
          <w:bCs/>
          <w:sz w:val="24"/>
          <w:szCs w:val="24"/>
          <w:lang w:val="ru-RU"/>
        </w:rPr>
        <w:t>.</w:t>
      </w:r>
    </w:p>
    <w:p w:rsidR="00AA3D45" w:rsidRDefault="00AA3D45" w:rsidP="00AA3D45">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О давању непокретних ствари у јавној својини Града на коришћење, односно одузимању права коришћења, на предлог Управе, решењем одлучује Градоначелник у складу са законом и овом Одлуком. </w:t>
      </w:r>
    </w:p>
    <w:p w:rsidR="00AA3D45" w:rsidRDefault="00AA3D45" w:rsidP="00AA3D45">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Решење којим се непокретне ствари дају на коришћење садржи, назив, пословно седиште правног лица коме се непокретне ствари дају на коришћење, адресу, зону и површину непокретних ствари, одредбу да се непокретне ствари дају на коришћење уз обавезу плаћања комуналних трошкова, рок за закључење уговора о давању непокретних ствари на коришћење и друге потребне елементе.</w:t>
      </w:r>
    </w:p>
    <w:p w:rsidR="00AA3D45" w:rsidRDefault="00AA3D45" w:rsidP="00AA3D45">
      <w:pPr>
        <w:pStyle w:val="No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Решење Градоначелника је коначно. </w:t>
      </w:r>
      <w:bookmarkStart w:id="1" w:name="clan_26"/>
      <w:bookmarkStart w:id="2" w:name="str_8"/>
      <w:bookmarkEnd w:id="1"/>
      <w:bookmarkEnd w:id="2"/>
    </w:p>
    <w:p w:rsidR="00AA3D45" w:rsidRDefault="00AA3D45" w:rsidP="00AA3D45">
      <w:pPr>
        <w:pStyle w:val="NoSpacing"/>
        <w:jc w:val="both"/>
        <w:rPr>
          <w:rFonts w:ascii="Times New Roman" w:hAnsi="Times New Roman" w:cs="Times New Roman"/>
          <w:sz w:val="24"/>
          <w:szCs w:val="24"/>
          <w:lang w:val="sr-Latn-CS"/>
        </w:rPr>
      </w:pP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36.</w:t>
      </w:r>
    </w:p>
    <w:p w:rsidR="00AA3D45" w:rsidRPr="00614ED4" w:rsidRDefault="00AA3D45" w:rsidP="00AA3D45">
      <w:pPr>
        <w:spacing w:after="120"/>
        <w:ind w:firstLine="720"/>
        <w:jc w:val="both"/>
        <w:rPr>
          <w:lang w:val="ru-RU"/>
        </w:rPr>
      </w:pPr>
      <w:r w:rsidRPr="00614ED4">
        <w:rPr>
          <w:lang w:val="ru-RU"/>
        </w:rPr>
        <w:t xml:space="preserve">Учесници огласа за прикупљање писаних понуда, односно за јавно надметање, </w:t>
      </w:r>
      <w:r>
        <w:rPr>
          <w:lang w:val="ru-RU"/>
        </w:rPr>
        <w:t>имају право на повраћај положеног депозита</w:t>
      </w:r>
      <w:r w:rsidRPr="00614ED4">
        <w:rPr>
          <w:lang w:val="ru-RU"/>
        </w:rPr>
        <w:t xml:space="preserve"> у року од 8 дана од дана спровођења поступка јавног надметања, односно прикупљања писаних понуда, без обрачунате камате, умањене за 5% на име трошкова спровођења поступка по огласу. </w:t>
      </w:r>
      <w:r>
        <w:rPr>
          <w:lang w:val="ru-RU"/>
        </w:rPr>
        <w:t xml:space="preserve"> </w:t>
      </w:r>
    </w:p>
    <w:p w:rsidR="00AA3D45" w:rsidRPr="00614ED4" w:rsidRDefault="00AA3D45" w:rsidP="00AA3D45">
      <w:pPr>
        <w:spacing w:after="120"/>
        <w:ind w:firstLine="720"/>
        <w:jc w:val="both"/>
        <w:rPr>
          <w:lang w:val="ru-RU"/>
        </w:rPr>
      </w:pPr>
      <w:r>
        <w:rPr>
          <w:lang w:val="ru-RU"/>
        </w:rPr>
        <w:t>Учесник</w:t>
      </w:r>
      <w:r w:rsidRPr="00614ED4">
        <w:rPr>
          <w:lang w:val="ru-RU"/>
        </w:rPr>
        <w:t xml:space="preserve"> ог</w:t>
      </w:r>
      <w:r>
        <w:rPr>
          <w:lang w:val="ru-RU"/>
        </w:rPr>
        <w:t>ласа са утврђеном</w:t>
      </w:r>
      <w:r w:rsidRPr="00614ED4">
        <w:rPr>
          <w:lang w:val="ru-RU"/>
        </w:rPr>
        <w:t xml:space="preserve"> најповољнијом понудом имају право на повраћај п</w:t>
      </w:r>
      <w:r>
        <w:rPr>
          <w:lang w:val="ru-RU"/>
        </w:rPr>
        <w:t>оложеног депозита</w:t>
      </w:r>
      <w:r w:rsidRPr="00614ED4">
        <w:rPr>
          <w:lang w:val="ru-RU"/>
        </w:rPr>
        <w:t xml:space="preserve"> у року од 3 дана од дана потписивања уговора о закупу, без обрачунате камате, умањене за 5% на име трошкова спровођења поступка по огласу. </w:t>
      </w:r>
    </w:p>
    <w:p w:rsidR="00AA3D45" w:rsidRPr="00BE2AA0" w:rsidRDefault="00AA3D45" w:rsidP="00AA3D45">
      <w:pPr>
        <w:ind w:firstLine="720"/>
        <w:jc w:val="both"/>
        <w:rPr>
          <w:b/>
          <w:u w:val="single"/>
          <w:lang w:val="ru-RU"/>
        </w:rPr>
      </w:pPr>
      <w:r w:rsidRPr="00BE2AA0">
        <w:rPr>
          <w:b/>
          <w:u w:val="single"/>
          <w:lang w:val="ru-RU"/>
        </w:rPr>
        <w:t xml:space="preserve">Уколико учесник огласа са утврђеном најповољнијом понудом одустане од закључења уговора о закупу, нема право на повраћај положене кауције. </w:t>
      </w:r>
    </w:p>
    <w:p w:rsidR="00AA3D45" w:rsidRPr="00BE2AA0" w:rsidRDefault="00AA3D45" w:rsidP="00AA3D45">
      <w:pPr>
        <w:ind w:firstLine="720"/>
        <w:jc w:val="both"/>
        <w:rPr>
          <w:b/>
          <w:u w:val="single"/>
          <w:lang w:val="ru-RU"/>
        </w:rPr>
      </w:pPr>
    </w:p>
    <w:p w:rsidR="00AA3D45" w:rsidRPr="006116CB" w:rsidRDefault="00AA3D45" w:rsidP="00AA3D45">
      <w:pPr>
        <w:pStyle w:val="NoSpacing"/>
        <w:jc w:val="both"/>
        <w:rPr>
          <w:rFonts w:ascii="Times New Roman" w:hAnsi="Times New Roman" w:cs="Times New Roman"/>
          <w:sz w:val="24"/>
          <w:szCs w:val="24"/>
          <w:lang w:val="sr-Cyrl-RS"/>
        </w:rPr>
      </w:pP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42.</w:t>
      </w:r>
    </w:p>
    <w:p w:rsidR="00AA3D45" w:rsidRDefault="00AA3D45" w:rsidP="00AA3D45">
      <w:pPr>
        <w:pStyle w:val="NoSpacing"/>
        <w:jc w:val="both"/>
        <w:rPr>
          <w:rFonts w:ascii="Times New Roman" w:hAnsi="Times New Roman" w:cs="Times New Roman"/>
          <w:b/>
          <w:sz w:val="24"/>
          <w:szCs w:val="24"/>
          <w:u w:val="single"/>
          <w:lang w:val="ru-RU"/>
        </w:rPr>
      </w:pPr>
      <w:r>
        <w:rPr>
          <w:rFonts w:ascii="Times New Roman" w:hAnsi="Times New Roman" w:cs="Times New Roman"/>
          <w:sz w:val="24"/>
          <w:szCs w:val="24"/>
          <w:lang w:val="sr-Latn-CS"/>
        </w:rPr>
        <w:t xml:space="preserve">      </w:t>
      </w:r>
      <w:r>
        <w:rPr>
          <w:rFonts w:ascii="Times New Roman" w:hAnsi="Times New Roman" w:cs="Times New Roman"/>
          <w:b/>
          <w:sz w:val="24"/>
          <w:szCs w:val="24"/>
          <w:u w:val="single"/>
          <w:lang w:val="ru-RU"/>
        </w:rPr>
        <w:t xml:space="preserve">На основу коначног решења, уговор о прибављању и располагању стварима у јавној својини Града, у име </w:t>
      </w:r>
      <w:r>
        <w:rPr>
          <w:rFonts w:ascii="Times New Roman" w:hAnsi="Times New Roman" w:cs="Times New Roman"/>
          <w:b/>
          <w:sz w:val="24"/>
          <w:szCs w:val="24"/>
          <w:u w:val="single"/>
          <w:lang w:val="sr-Cyrl-RS"/>
        </w:rPr>
        <w:t>Г</w:t>
      </w:r>
      <w:r>
        <w:rPr>
          <w:rFonts w:ascii="Times New Roman" w:hAnsi="Times New Roman" w:cs="Times New Roman"/>
          <w:b/>
          <w:sz w:val="24"/>
          <w:szCs w:val="24"/>
          <w:u w:val="single"/>
          <w:lang w:val="ru-RU"/>
        </w:rPr>
        <w:t xml:space="preserve">рада закључује Градоначелник, односно лице које он писаним путем овласти. </w:t>
      </w:r>
    </w:p>
    <w:p w:rsidR="00AA3D45" w:rsidRDefault="00AA3D45" w:rsidP="00AA3D45">
      <w:pPr>
        <w:pStyle w:val="NoSpacing"/>
        <w:jc w:val="both"/>
        <w:rPr>
          <w:rFonts w:ascii="Times New Roman" w:hAnsi="Times New Roman" w:cs="Times New Roman"/>
          <w:b/>
          <w:sz w:val="24"/>
          <w:szCs w:val="24"/>
          <w:u w:val="single"/>
          <w:lang w:val="ru-RU"/>
        </w:rPr>
      </w:pPr>
      <w:r>
        <w:rPr>
          <w:rFonts w:ascii="Times New Roman" w:hAnsi="Times New Roman" w:cs="Times New Roman"/>
          <w:b/>
          <w:sz w:val="24"/>
          <w:szCs w:val="24"/>
          <w:u w:val="single"/>
          <w:lang w:val="sr-Latn-CS"/>
        </w:rPr>
        <w:t xml:space="preserve">     </w:t>
      </w:r>
      <w:r>
        <w:rPr>
          <w:rFonts w:ascii="Times New Roman" w:hAnsi="Times New Roman" w:cs="Times New Roman"/>
          <w:b/>
          <w:sz w:val="24"/>
          <w:szCs w:val="24"/>
          <w:u w:val="single"/>
          <w:lang w:val="ru-RU"/>
        </w:rPr>
        <w:t xml:space="preserve">Уговор о прибављању и располагању стварима у јавној својини Града закључен супротно одредбама става 1. овог члана, ништав је. </w:t>
      </w:r>
    </w:p>
    <w:p w:rsidR="00AA3D45" w:rsidRDefault="00AA3D45" w:rsidP="00AA3D45">
      <w:pPr>
        <w:pStyle w:val="NoSpacing"/>
        <w:jc w:val="both"/>
        <w:rPr>
          <w:rFonts w:ascii="Times New Roman" w:hAnsi="Times New Roman" w:cs="Times New Roman"/>
          <w:b/>
          <w:bCs/>
          <w:sz w:val="24"/>
          <w:szCs w:val="24"/>
          <w:lang w:val="sr-Latn-CS"/>
        </w:rPr>
      </w:pP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4</w:t>
      </w:r>
      <w:r>
        <w:rPr>
          <w:rFonts w:ascii="Times New Roman" w:hAnsi="Times New Roman" w:cs="Times New Roman"/>
          <w:bCs/>
          <w:sz w:val="24"/>
          <w:szCs w:val="24"/>
          <w:lang w:val="sr-Cyrl-CS"/>
        </w:rPr>
        <w:t>4</w:t>
      </w:r>
      <w:r>
        <w:rPr>
          <w:rFonts w:ascii="Times New Roman" w:hAnsi="Times New Roman" w:cs="Times New Roman"/>
          <w:bCs/>
          <w:sz w:val="24"/>
          <w:szCs w:val="24"/>
          <w:lang w:val="ru-RU"/>
        </w:rPr>
        <w:t>.</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Уговор о закупу, односно коришћењу ствари у јавној својини Града садржи: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1. уговорне стране,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2. датум и место закључења,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3. податке о стварима,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4. период за који се уговор закључује,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5. износ закупнине, осим ако се ствари у својини Града дају на коришћење без накнаде,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6. рок и начин плаћања закупнине,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7. права и обавезе уговорних страна,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8. делатност коју ће закупац обављати у пословном простору, </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9. одредбу да закупац може мењати делатност за време трајања закупа, уз сагласност Управе, </w:t>
      </w:r>
    </w:p>
    <w:p w:rsidR="00AA3D45" w:rsidRDefault="00AA3D45" w:rsidP="00AA3D45">
      <w:pPr>
        <w:pStyle w:val="NoSpacing"/>
        <w:rPr>
          <w:rFonts w:ascii="Times New Roman" w:hAnsi="Times New Roman" w:cs="Times New Roman"/>
          <w:b/>
          <w:sz w:val="24"/>
          <w:szCs w:val="24"/>
          <w:u w:val="single"/>
          <w:lang w:val="ru-RU"/>
        </w:rPr>
      </w:pPr>
      <w:r>
        <w:rPr>
          <w:rFonts w:ascii="Times New Roman" w:hAnsi="Times New Roman" w:cs="Times New Roman"/>
          <w:sz w:val="24"/>
          <w:szCs w:val="24"/>
          <w:lang w:val="ru-RU"/>
        </w:rPr>
        <w:t xml:space="preserve">10. одредбу о средству обезбеђења плаћања будућег закупа, комуналних трошкова и других трошкова који проистичу из коришћења пословног простора (хипотека на непокретностима, залога на покретним стварима, неопозива банкарска гаранција, јемство другог лица које је власник имовине чија вредност не може бити мања од 150% висине потраживања које се обезбеђује, трасирана меница акцептирана од стране два жиранта из чијих се зарада, на којима се установљава административна забрана, дуг може наплатити, меница авалирана од стране пословне банке, сопствена меница и друга средства која могу послужити за обезбеђење плаћања), по избору Управе, у висини шест месечних закупнина за односни пословни </w:t>
      </w:r>
      <w:r>
        <w:rPr>
          <w:rFonts w:ascii="Times New Roman" w:hAnsi="Times New Roman" w:cs="Times New Roman"/>
          <w:b/>
          <w:sz w:val="24"/>
          <w:szCs w:val="24"/>
          <w:u w:val="single"/>
          <w:lang w:val="ru-RU"/>
        </w:rPr>
        <w:t>простор,</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11. одредбу о измени висине закупнине у складу са Одлуком,</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12. одредбе о престанку уговора,</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13. потписе уговорних страна, и</w:t>
      </w:r>
    </w:p>
    <w:p w:rsidR="00AA3D45" w:rsidRDefault="00AA3D45" w:rsidP="00AA3D45">
      <w:pPr>
        <w:pStyle w:val="NoSpacing"/>
        <w:rPr>
          <w:rFonts w:ascii="Times New Roman" w:hAnsi="Times New Roman" w:cs="Times New Roman"/>
          <w:sz w:val="24"/>
          <w:szCs w:val="24"/>
          <w:lang w:val="ru-RU"/>
        </w:rPr>
      </w:pPr>
      <w:r>
        <w:rPr>
          <w:rFonts w:ascii="Times New Roman" w:hAnsi="Times New Roman" w:cs="Times New Roman"/>
          <w:sz w:val="24"/>
          <w:szCs w:val="24"/>
          <w:lang w:val="ru-RU"/>
        </w:rPr>
        <w:t xml:space="preserve">14. друге потребне податке. </w:t>
      </w:r>
    </w:p>
    <w:p w:rsidR="00AA3D45" w:rsidRDefault="00AA3D45" w:rsidP="00AA3D45">
      <w:pPr>
        <w:pStyle w:val="NoSpacing"/>
        <w:jc w:val="both"/>
        <w:rPr>
          <w:rFonts w:ascii="Times New Roman" w:hAnsi="Times New Roman" w:cs="Times New Roman"/>
          <w:sz w:val="24"/>
          <w:szCs w:val="24"/>
          <w:lang w:val="ru-RU"/>
        </w:rPr>
      </w:pPr>
    </w:p>
    <w:p w:rsidR="00AA3D45" w:rsidRDefault="00AA3D45" w:rsidP="00AA3D45">
      <w:pPr>
        <w:pStyle w:val="NoSpacing"/>
        <w:jc w:val="center"/>
        <w:rPr>
          <w:rFonts w:ascii="Times New Roman" w:hAnsi="Times New Roman" w:cs="Times New Roman"/>
          <w:bCs/>
          <w:sz w:val="24"/>
          <w:szCs w:val="24"/>
          <w:lang w:val="sr-Latn-RS"/>
        </w:rPr>
      </w:pPr>
      <w:bookmarkStart w:id="3" w:name="clan_54"/>
      <w:bookmarkEnd w:id="3"/>
      <w:r>
        <w:rPr>
          <w:rFonts w:ascii="Times New Roman" w:hAnsi="Times New Roman" w:cs="Times New Roman"/>
          <w:bCs/>
          <w:sz w:val="24"/>
          <w:szCs w:val="24"/>
          <w:lang w:val="ru-RU"/>
        </w:rPr>
        <w:t xml:space="preserve">Члан </w:t>
      </w:r>
      <w:r>
        <w:rPr>
          <w:rFonts w:ascii="Times New Roman" w:hAnsi="Times New Roman" w:cs="Times New Roman"/>
          <w:bCs/>
          <w:sz w:val="24"/>
          <w:szCs w:val="24"/>
          <w:lang w:val="sr-Latn-RS"/>
        </w:rPr>
        <w:t>5</w:t>
      </w:r>
      <w:r>
        <w:rPr>
          <w:rFonts w:ascii="Times New Roman" w:hAnsi="Times New Roman" w:cs="Times New Roman"/>
          <w:bCs/>
          <w:sz w:val="24"/>
          <w:szCs w:val="24"/>
          <w:lang w:val="sr-Cyrl-CS"/>
        </w:rPr>
        <w:t>1.</w:t>
      </w:r>
    </w:p>
    <w:p w:rsidR="00AA3D45" w:rsidRDefault="00AA3D45" w:rsidP="00AA3D45">
      <w:pPr>
        <w:pStyle w:val="NoSpacing"/>
        <w:jc w:val="center"/>
        <w:rPr>
          <w:rFonts w:ascii="Times New Roman" w:hAnsi="Times New Roman" w:cs="Times New Roman"/>
          <w:bCs/>
          <w:sz w:val="24"/>
          <w:szCs w:val="24"/>
          <w:lang w:val="sr-Latn-RS"/>
        </w:rPr>
      </w:pPr>
    </w:p>
    <w:p w:rsidR="00AA3D45" w:rsidRDefault="00AA3D45" w:rsidP="00AA3D45">
      <w:pPr>
        <w:ind w:firstLine="720"/>
        <w:jc w:val="both"/>
        <w:rPr>
          <w:lang w:val="ru-RU"/>
        </w:rPr>
      </w:pPr>
      <w:r w:rsidRPr="00614ED4">
        <w:rPr>
          <w:lang w:val="ru-RU"/>
        </w:rPr>
        <w:t xml:space="preserve">Закупац, односно корисник и ако то није уговорени услов, може да врши </w:t>
      </w:r>
      <w:r>
        <w:rPr>
          <w:lang w:val="ru-RU"/>
        </w:rPr>
        <w:t xml:space="preserve">инвестиционо одржавање непокретних ствари које су му </w:t>
      </w:r>
      <w:r>
        <w:rPr>
          <w:lang w:val="sr-Cyrl-RS"/>
        </w:rPr>
        <w:t>дате</w:t>
      </w:r>
      <w:r>
        <w:rPr>
          <w:lang w:val="ru-RU"/>
        </w:rPr>
        <w:t xml:space="preserve"> у закуп.</w:t>
      </w:r>
    </w:p>
    <w:p w:rsidR="00AA3D45" w:rsidRDefault="00AA3D45" w:rsidP="00AA3D45">
      <w:pPr>
        <w:ind w:firstLine="720"/>
        <w:jc w:val="both"/>
        <w:rPr>
          <w:lang w:val="ru-RU"/>
        </w:rPr>
      </w:pPr>
      <w:r>
        <w:rPr>
          <w:lang w:val="ru-RU"/>
        </w:rPr>
        <w:t>Град може по захтеву закупца одобрити извођење радова који имају карактер инвестиционог одржавања на закупљеној непокретности уз признавање уложених средстава, у складу са Уредбом.</w:t>
      </w:r>
    </w:p>
    <w:p w:rsidR="00AA3D45" w:rsidRPr="00614ED4" w:rsidRDefault="00AA3D45" w:rsidP="00AA3D45">
      <w:pPr>
        <w:spacing w:after="120"/>
        <w:ind w:firstLine="720"/>
        <w:jc w:val="both"/>
        <w:rPr>
          <w:lang w:val="ru-RU"/>
        </w:rPr>
      </w:pPr>
      <w:r w:rsidRPr="00614ED4">
        <w:rPr>
          <w:lang w:val="ru-RU"/>
        </w:rPr>
        <w:t xml:space="preserve">Сагласност за извођење радова на </w:t>
      </w:r>
      <w:r>
        <w:rPr>
          <w:lang w:val="ru-RU"/>
        </w:rPr>
        <w:t>инвестиционом одржавању</w:t>
      </w:r>
      <w:r w:rsidRPr="00614ED4">
        <w:rPr>
          <w:lang w:val="ru-RU"/>
        </w:rPr>
        <w:t xml:space="preserve"> </w:t>
      </w:r>
      <w:r>
        <w:rPr>
          <w:lang w:val="ru-RU"/>
        </w:rPr>
        <w:t>непокретних ствари</w:t>
      </w:r>
      <w:r w:rsidRPr="00614ED4">
        <w:rPr>
          <w:lang w:val="ru-RU"/>
        </w:rPr>
        <w:t>, на предлог Комисије</w:t>
      </w:r>
      <w:r>
        <w:rPr>
          <w:lang w:val="ru-RU"/>
        </w:rPr>
        <w:t xml:space="preserve"> за одобравање радова и признавању уложених средстава,</w:t>
      </w:r>
      <w:r w:rsidRPr="00614ED4">
        <w:rPr>
          <w:lang w:val="ru-RU"/>
        </w:rPr>
        <w:t xml:space="preserve"> кој</w:t>
      </w:r>
      <w:r>
        <w:rPr>
          <w:lang w:val="ru-RU"/>
        </w:rPr>
        <w:t>у образује Градоначелник, даје Н</w:t>
      </w:r>
      <w:r w:rsidRPr="00614ED4">
        <w:rPr>
          <w:lang w:val="ru-RU"/>
        </w:rPr>
        <w:t>ачелник упр</w:t>
      </w:r>
      <w:r>
        <w:rPr>
          <w:lang w:val="ru-RU"/>
        </w:rPr>
        <w:t>аве</w:t>
      </w:r>
      <w:r w:rsidRPr="00614ED4">
        <w:rPr>
          <w:lang w:val="ru-RU"/>
        </w:rPr>
        <w:t>.</w:t>
      </w:r>
      <w:r>
        <w:rPr>
          <w:lang w:val="ru-RU"/>
        </w:rPr>
        <w:t xml:space="preserve"> </w:t>
      </w:r>
    </w:p>
    <w:p w:rsidR="00AA3D45" w:rsidRPr="00B8350A" w:rsidRDefault="00AA3D45" w:rsidP="00AA3D45">
      <w:pPr>
        <w:spacing w:after="120"/>
        <w:ind w:firstLine="720"/>
        <w:jc w:val="both"/>
        <w:rPr>
          <w:b/>
          <w:u w:val="single"/>
          <w:lang w:val="ru-RU"/>
        </w:rPr>
      </w:pPr>
      <w:r w:rsidRPr="00B8350A">
        <w:rPr>
          <w:b/>
          <w:u w:val="single"/>
          <w:lang w:val="ru-RU"/>
        </w:rPr>
        <w:lastRenderedPageBreak/>
        <w:t>Стручни надзор у току извођења</w:t>
      </w:r>
      <w:r>
        <w:rPr>
          <w:b/>
          <w:u w:val="single"/>
          <w:lang w:val="ru-RU"/>
        </w:rPr>
        <w:t xml:space="preserve"> радова вршиће привредни субјек</w:t>
      </w:r>
      <w:r w:rsidRPr="00B8350A">
        <w:rPr>
          <w:b/>
          <w:u w:val="single"/>
          <w:lang w:val="ru-RU"/>
        </w:rPr>
        <w:t>т из члана 14. став 3. ове Одлуке.</w:t>
      </w:r>
    </w:p>
    <w:p w:rsidR="00AA3D45" w:rsidRPr="00614ED4" w:rsidRDefault="00AA3D45" w:rsidP="00AA3D45">
      <w:pPr>
        <w:spacing w:after="120"/>
        <w:ind w:firstLine="720"/>
        <w:jc w:val="both"/>
        <w:rPr>
          <w:lang w:val="ru-RU"/>
        </w:rPr>
      </w:pPr>
      <w:r>
        <w:rPr>
          <w:lang w:val="ru-RU"/>
        </w:rPr>
        <w:t>Комисија из става 3</w:t>
      </w:r>
      <w:r w:rsidRPr="00614ED4">
        <w:rPr>
          <w:lang w:val="ru-RU"/>
        </w:rPr>
        <w:t xml:space="preserve">. овог члана, по окончању радова, врши коначни обрачун и процену средстава уложених у </w:t>
      </w:r>
      <w:r>
        <w:rPr>
          <w:lang w:val="ru-RU"/>
        </w:rPr>
        <w:t>инвестиционо одржавање</w:t>
      </w:r>
      <w:r w:rsidRPr="00614ED4">
        <w:rPr>
          <w:lang w:val="ru-RU"/>
        </w:rPr>
        <w:t xml:space="preserve"> </w:t>
      </w:r>
      <w:r>
        <w:rPr>
          <w:lang w:val="ru-RU"/>
        </w:rPr>
        <w:t>непокретних ствари</w:t>
      </w:r>
      <w:r w:rsidRPr="00614ED4">
        <w:rPr>
          <w:lang w:val="ru-RU"/>
        </w:rPr>
        <w:t>.</w:t>
      </w:r>
    </w:p>
    <w:p w:rsidR="00AA3D45" w:rsidRDefault="00AA3D45" w:rsidP="00AA3D45">
      <w:pPr>
        <w:ind w:firstLine="720"/>
        <w:jc w:val="both"/>
        <w:rPr>
          <w:lang w:val="ru-RU"/>
        </w:rPr>
      </w:pPr>
      <w:r w:rsidRPr="00614ED4">
        <w:rPr>
          <w:lang w:val="ru-RU"/>
        </w:rPr>
        <w:t xml:space="preserve">Начин и поступак давања сагласности, обезбеђење стручног надзора, обрачун и процена средстава уложених у </w:t>
      </w:r>
      <w:r>
        <w:rPr>
          <w:lang w:val="ru-RU"/>
        </w:rPr>
        <w:t>инвестиционо одржавање</w:t>
      </w:r>
      <w:r w:rsidRPr="00614ED4">
        <w:rPr>
          <w:lang w:val="ru-RU"/>
        </w:rPr>
        <w:t xml:space="preserve"> </w:t>
      </w:r>
      <w:r>
        <w:rPr>
          <w:lang w:val="ru-RU"/>
        </w:rPr>
        <w:t>непокретних ствари</w:t>
      </w:r>
      <w:r w:rsidRPr="00614ED4">
        <w:rPr>
          <w:lang w:val="ru-RU"/>
        </w:rPr>
        <w:t>, уређује се посе</w:t>
      </w:r>
      <w:r>
        <w:rPr>
          <w:lang w:val="ru-RU"/>
        </w:rPr>
        <w:t>бним упутством које на предлог управе</w:t>
      </w:r>
      <w:r w:rsidRPr="00614ED4">
        <w:rPr>
          <w:lang w:val="ru-RU"/>
        </w:rPr>
        <w:t>, доноси Градоначелник.</w:t>
      </w:r>
      <w:r>
        <w:rPr>
          <w:lang w:val="ru-RU"/>
        </w:rPr>
        <w:t xml:space="preserve"> </w:t>
      </w:r>
    </w:p>
    <w:p w:rsidR="00AA3D45" w:rsidRPr="00A220E7" w:rsidRDefault="00AA3D45" w:rsidP="00AA3D45">
      <w:pPr>
        <w:pStyle w:val="NoSpacing"/>
        <w:jc w:val="both"/>
        <w:rPr>
          <w:rFonts w:ascii="Times New Roman" w:hAnsi="Times New Roman" w:cs="Times New Roman"/>
          <w:b/>
          <w:bCs/>
          <w:sz w:val="24"/>
          <w:szCs w:val="24"/>
          <w:lang w:val="sr-Cyrl-RS"/>
        </w:rPr>
      </w:pPr>
    </w:p>
    <w:p w:rsidR="00AA3D45" w:rsidRPr="00BF0D8B" w:rsidRDefault="00AA3D45" w:rsidP="00AA3D45">
      <w:pPr>
        <w:pStyle w:val="NoSpacing"/>
        <w:jc w:val="center"/>
        <w:rPr>
          <w:rFonts w:ascii="Times New Roman" w:hAnsi="Times New Roman" w:cs="Times New Roman"/>
          <w:bCs/>
          <w:sz w:val="24"/>
          <w:szCs w:val="24"/>
          <w:u w:val="single"/>
          <w:lang w:val="ru-RU"/>
        </w:rPr>
      </w:pPr>
      <w:r w:rsidRPr="00BF0D8B">
        <w:rPr>
          <w:rFonts w:ascii="Times New Roman" w:hAnsi="Times New Roman" w:cs="Times New Roman"/>
          <w:bCs/>
          <w:sz w:val="24"/>
          <w:szCs w:val="24"/>
          <w:u w:val="single"/>
          <w:lang w:val="ru-RU"/>
        </w:rPr>
        <w:t>Члан 6</w:t>
      </w:r>
      <w:r w:rsidRPr="00BF0D8B">
        <w:rPr>
          <w:rFonts w:ascii="Times New Roman" w:hAnsi="Times New Roman" w:cs="Times New Roman"/>
          <w:bCs/>
          <w:sz w:val="24"/>
          <w:szCs w:val="24"/>
          <w:u w:val="single"/>
          <w:lang w:val="sr-Cyrl-CS"/>
        </w:rPr>
        <w:t>1.</w:t>
      </w:r>
    </w:p>
    <w:p w:rsidR="00AA3D45" w:rsidRPr="00BF0D8B" w:rsidRDefault="00AA3D45" w:rsidP="00AA3D45">
      <w:pPr>
        <w:pStyle w:val="NoSpacing"/>
        <w:ind w:firstLine="720"/>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lang w:val="ru-RU"/>
        </w:rPr>
        <w:t>Месечна закупнина за 1 м</w:t>
      </w:r>
      <w:r w:rsidRPr="00BF0D8B">
        <w:rPr>
          <w:rFonts w:ascii="Times New Roman" w:hAnsi="Times New Roman" w:cs="Times New Roman"/>
          <w:b/>
          <w:sz w:val="24"/>
          <w:szCs w:val="24"/>
          <w:u w:val="single"/>
          <w:vertAlign w:val="superscript"/>
          <w:lang w:val="ru-RU"/>
        </w:rPr>
        <w:t>2</w:t>
      </w:r>
      <w:r w:rsidRPr="00BF0D8B">
        <w:rPr>
          <w:rFonts w:ascii="Times New Roman" w:hAnsi="Times New Roman" w:cs="Times New Roman"/>
          <w:b/>
          <w:sz w:val="24"/>
          <w:szCs w:val="24"/>
          <w:u w:val="single"/>
          <w:lang w:val="ru-RU"/>
        </w:rPr>
        <w:t xml:space="preserve"> пословног простора у којој делатност обављају политичке странке које имају посланике у Народној Скупштини Републике Србије, одборнике у Скупштини Града  и у скупштинама градских Општина, </w:t>
      </w:r>
      <w:r w:rsidRPr="00BF0D8B">
        <w:rPr>
          <w:rFonts w:ascii="Times New Roman" w:hAnsi="Times New Roman" w:cs="Times New Roman"/>
          <w:b/>
          <w:sz w:val="24"/>
          <w:szCs w:val="24"/>
          <w:u w:val="single"/>
          <w:lang w:val="sr-Cyrl-CS"/>
        </w:rPr>
        <w:t xml:space="preserve">јавна предузећа чији је оснивач Град, </w:t>
      </w:r>
      <w:r w:rsidRPr="00BF0D8B">
        <w:rPr>
          <w:rFonts w:ascii="Times New Roman" w:hAnsi="Times New Roman" w:cs="Times New Roman"/>
          <w:b/>
          <w:sz w:val="24"/>
          <w:szCs w:val="24"/>
          <w:u w:val="single"/>
          <w:lang w:val="ru-RU"/>
        </w:rPr>
        <w:t xml:space="preserve">по зонама износи: </w:t>
      </w:r>
    </w:p>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9390"/>
      </w:tblGrid>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tcPr>
          <w:p w:rsidR="00AA3D45" w:rsidRPr="00BF0D8B" w:rsidRDefault="00AA3D45" w:rsidP="00C22A85">
            <w:pPr>
              <w:pStyle w:val="NoSpacing"/>
              <w:spacing w:line="276" w:lineRule="auto"/>
              <w:jc w:val="both"/>
              <w:rPr>
                <w:rFonts w:ascii="Times New Roman" w:hAnsi="Times New Roman" w:cs="Times New Roman"/>
                <w:b/>
                <w:sz w:val="24"/>
                <w:szCs w:val="24"/>
                <w:u w:val="single"/>
                <w:lang w:val="sr-Cyrl-CS"/>
              </w:rPr>
            </w:pPr>
            <w:r w:rsidRPr="00BF0D8B">
              <w:rPr>
                <w:rFonts w:ascii="Times New Roman" w:hAnsi="Times New Roman" w:cs="Times New Roman"/>
                <w:b/>
                <w:sz w:val="24"/>
                <w:szCs w:val="24"/>
                <w:u w:val="single"/>
                <w:lang w:val="ru-RU"/>
              </w:rPr>
              <w:t xml:space="preserve">- Централна зона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ru-RU"/>
              </w:rPr>
              <w:t xml:space="preserve">285,00 </w:t>
            </w:r>
            <w:r w:rsidRPr="00BF0D8B">
              <w:rPr>
                <w:rFonts w:ascii="Times New Roman" w:hAnsi="Times New Roman" w:cs="Times New Roman"/>
                <w:b/>
                <w:sz w:val="24"/>
                <w:szCs w:val="24"/>
                <w:u w:val="single"/>
                <w:lang w:val="sr-Cyrl-CS"/>
              </w:rPr>
              <w:t>динара</w:t>
            </w:r>
          </w:p>
          <w:p w:rsidR="00AA3D45" w:rsidRPr="00BF0D8B" w:rsidRDefault="00AA3D45" w:rsidP="00C22A85">
            <w:pPr>
              <w:pStyle w:val="NoSpacing"/>
              <w:spacing w:line="276" w:lineRule="auto"/>
              <w:jc w:val="both"/>
              <w:rPr>
                <w:rFonts w:ascii="Times New Roman" w:hAnsi="Times New Roman" w:cs="Times New Roman"/>
                <w:b/>
                <w:sz w:val="24"/>
                <w:szCs w:val="24"/>
                <w:u w:val="single"/>
                <w:lang w:val="sr-Cyrl-CS"/>
              </w:rPr>
            </w:pPr>
            <w:r w:rsidRPr="00BF0D8B">
              <w:rPr>
                <w:rFonts w:ascii="Times New Roman" w:hAnsi="Times New Roman" w:cs="Times New Roman"/>
                <w:b/>
                <w:sz w:val="24"/>
                <w:szCs w:val="24"/>
                <w:u w:val="single"/>
                <w:lang w:val="sr-Cyrl-CS"/>
              </w:rPr>
              <w:t xml:space="preserve">                приземље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Latn-RS"/>
              </w:rPr>
              <w:t>285</w:t>
            </w:r>
            <w:r w:rsidRPr="00BF0D8B">
              <w:rPr>
                <w:rFonts w:ascii="Times New Roman" w:hAnsi="Times New Roman" w:cs="Times New Roman"/>
                <w:b/>
                <w:sz w:val="24"/>
                <w:szCs w:val="24"/>
                <w:u w:val="single"/>
                <w:lang w:val="sr-Cyrl-CS"/>
              </w:rPr>
              <w:t>,00 динара</w:t>
            </w:r>
          </w:p>
          <w:p w:rsidR="00AA3D45" w:rsidRPr="00BF0D8B" w:rsidRDefault="00AA3D45" w:rsidP="00C22A85">
            <w:pPr>
              <w:pStyle w:val="NoSpacing"/>
              <w:spacing w:line="276" w:lineRule="auto"/>
              <w:jc w:val="both"/>
              <w:rPr>
                <w:rFonts w:ascii="Times New Roman" w:hAnsi="Times New Roman" w:cs="Times New Roman"/>
                <w:b/>
                <w:sz w:val="24"/>
                <w:szCs w:val="24"/>
                <w:u w:val="single"/>
                <w:lang w:val="sr-Cyrl-CS"/>
              </w:rPr>
            </w:pPr>
            <w:r w:rsidRPr="00BF0D8B">
              <w:rPr>
                <w:rFonts w:ascii="Times New Roman" w:hAnsi="Times New Roman" w:cs="Times New Roman"/>
                <w:b/>
                <w:sz w:val="24"/>
                <w:szCs w:val="24"/>
                <w:u w:val="single"/>
                <w:lang w:val="sr-Cyrl-CS"/>
              </w:rPr>
              <w:t xml:space="preserve">                први спрат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Latn-RS"/>
              </w:rPr>
              <w:t>214</w:t>
            </w:r>
            <w:r w:rsidRPr="00BF0D8B">
              <w:rPr>
                <w:rFonts w:ascii="Times New Roman" w:hAnsi="Times New Roman" w:cs="Times New Roman"/>
                <w:b/>
                <w:sz w:val="24"/>
                <w:szCs w:val="24"/>
                <w:u w:val="single"/>
                <w:lang w:val="sr-Cyrl-CS"/>
              </w:rPr>
              <w:t>,00 динара</w:t>
            </w:r>
          </w:p>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RS"/>
              </w:rPr>
              <w:t>д</w:t>
            </w:r>
            <w:r w:rsidRPr="00BF0D8B">
              <w:rPr>
                <w:rFonts w:ascii="Times New Roman" w:hAnsi="Times New Roman" w:cs="Times New Roman"/>
                <w:b/>
                <w:sz w:val="24"/>
                <w:szCs w:val="24"/>
                <w:u w:val="single"/>
                <w:lang w:val="sr-Cyrl-CS"/>
              </w:rPr>
              <w:t xml:space="preserve">руги спрат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Latn-RS"/>
              </w:rPr>
              <w:t>143</w:t>
            </w:r>
            <w:r w:rsidRPr="00BF0D8B">
              <w:rPr>
                <w:rFonts w:ascii="Times New Roman" w:hAnsi="Times New Roman" w:cs="Times New Roman"/>
                <w:b/>
                <w:sz w:val="24"/>
                <w:szCs w:val="24"/>
                <w:u w:val="single"/>
                <w:lang w:val="sr-Cyrl-CS"/>
              </w:rPr>
              <w:t>,00 динара</w:t>
            </w:r>
          </w:p>
          <w:p w:rsidR="00AA3D45" w:rsidRPr="00BF0D8B" w:rsidRDefault="00AA3D45" w:rsidP="00C22A85">
            <w:pPr>
              <w:pStyle w:val="NoSpacing"/>
              <w:spacing w:line="276" w:lineRule="auto"/>
              <w:jc w:val="both"/>
              <w:rPr>
                <w:rFonts w:ascii="Times New Roman" w:hAnsi="Times New Roman" w:cs="Times New Roman"/>
                <w:b/>
                <w:sz w:val="24"/>
                <w:szCs w:val="24"/>
                <w:u w:val="single"/>
                <w:lang w:val="sr-Cyrl-CS"/>
              </w:rPr>
            </w:pP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ТПЦ "</w:t>
            </w:r>
            <w:proofErr w:type="spellStart"/>
            <w:r w:rsidRPr="00BF0D8B">
              <w:rPr>
                <w:rFonts w:ascii="Times New Roman" w:hAnsi="Times New Roman" w:cs="Times New Roman"/>
                <w:b/>
                <w:sz w:val="24"/>
                <w:szCs w:val="24"/>
                <w:u w:val="single"/>
              </w:rPr>
              <w:t>Калча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CS"/>
              </w:rPr>
              <w:t xml:space="preserve"> </w:t>
            </w:r>
            <w:proofErr w:type="spellStart"/>
            <w:r w:rsidRPr="00BF0D8B">
              <w:rPr>
                <w:rFonts w:ascii="Times New Roman" w:hAnsi="Times New Roman" w:cs="Times New Roman"/>
                <w:b/>
                <w:sz w:val="24"/>
                <w:szCs w:val="24"/>
                <w:u w:val="single"/>
              </w:rPr>
              <w:t>приземље</w:t>
            </w:r>
            <w:proofErr w:type="spellEnd"/>
            <w:r w:rsidRPr="00BF0D8B">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CS"/>
              </w:rPr>
              <w:t xml:space="preserve">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RS"/>
              </w:rPr>
              <w:t>228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rPr>
              <w:t>1</w:t>
            </w:r>
            <w:r w:rsidRPr="00BF0D8B">
              <w:rPr>
                <w:rFonts w:ascii="Times New Roman" w:hAnsi="Times New Roman" w:cs="Times New Roman"/>
                <w:b/>
                <w:sz w:val="24"/>
                <w:szCs w:val="24"/>
                <w:u w:val="single"/>
                <w:lang w:val="sr-Cyrl-RS"/>
              </w:rPr>
              <w:t>85</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lang w:val="sr-Cyrl-RS"/>
              </w:rPr>
              <w:t xml:space="preserve"> 128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III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RS"/>
              </w:rPr>
              <w:t>8</w:t>
            </w:r>
            <w:r w:rsidRPr="00BF0D8B">
              <w:rPr>
                <w:rFonts w:ascii="Times New Roman" w:hAnsi="Times New Roman" w:cs="Times New Roman"/>
                <w:b/>
                <w:sz w:val="24"/>
                <w:szCs w:val="24"/>
                <w:u w:val="single"/>
              </w:rPr>
              <w:t xml:space="preserve">6,00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D35F16" w:rsidRDefault="00AA3D45" w:rsidP="00C22A85">
            <w:pPr>
              <w:pStyle w:val="NoSpacing"/>
              <w:spacing w:line="276" w:lineRule="auto"/>
              <w:jc w:val="both"/>
              <w:rPr>
                <w:rFonts w:ascii="Times New Roman" w:hAnsi="Times New Roman" w:cs="Times New Roman"/>
                <w:b/>
                <w:sz w:val="24"/>
                <w:szCs w:val="24"/>
                <w:u w:val="single"/>
                <w:lang w:val="sr-Cyrl-RS"/>
              </w:rPr>
            </w:pP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ТПЦ "</w:t>
            </w:r>
            <w:proofErr w:type="spellStart"/>
            <w:r w:rsidRPr="00BF0D8B">
              <w:rPr>
                <w:rFonts w:ascii="Times New Roman" w:hAnsi="Times New Roman" w:cs="Times New Roman"/>
                <w:b/>
                <w:sz w:val="24"/>
                <w:szCs w:val="24"/>
                <w:u w:val="single"/>
              </w:rPr>
              <w:t>Горча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lang w:val="sr-Cyrl-RS"/>
              </w:rPr>
              <w:t>-</w:t>
            </w:r>
            <w:r w:rsidRPr="00BF0D8B">
              <w:rPr>
                <w:rFonts w:ascii="Times New Roman" w:hAnsi="Times New Roman" w:cs="Times New Roman"/>
                <w:b/>
                <w:sz w:val="24"/>
                <w:szCs w:val="24"/>
                <w:u w:val="single"/>
              </w:rPr>
              <w:t xml:space="preserve"> </w:t>
            </w:r>
            <w:proofErr w:type="spellStart"/>
            <w:r w:rsidRPr="00BF0D8B">
              <w:rPr>
                <w:rFonts w:ascii="Times New Roman" w:hAnsi="Times New Roman" w:cs="Times New Roman"/>
                <w:b/>
                <w:sz w:val="24"/>
                <w:szCs w:val="24"/>
                <w:u w:val="single"/>
              </w:rPr>
              <w:t>приземље</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lang w:val="sr-Cyrl-RS"/>
              </w:rPr>
              <w:t xml:space="preserve"> 209</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lang w:val="sr-Cyrl-RS"/>
              </w:rPr>
              <w:t>-</w:t>
            </w:r>
            <w:r w:rsidRPr="00BF0D8B">
              <w:rPr>
                <w:rFonts w:ascii="Times New Roman" w:hAnsi="Times New Roman" w:cs="Times New Roman"/>
                <w:b/>
                <w:sz w:val="24"/>
                <w:szCs w:val="24"/>
                <w:u w:val="single"/>
              </w:rPr>
              <w:t xml:space="preserve"> </w:t>
            </w:r>
            <w:proofErr w:type="spellStart"/>
            <w:r w:rsidRPr="00BF0D8B">
              <w:rPr>
                <w:rFonts w:ascii="Times New Roman" w:hAnsi="Times New Roman" w:cs="Times New Roman"/>
                <w:b/>
                <w:sz w:val="24"/>
                <w:szCs w:val="24"/>
                <w:u w:val="single"/>
              </w:rPr>
              <w:t>мезанин</w:t>
            </w:r>
            <w:proofErr w:type="spellEnd"/>
            <w:r w:rsidRPr="00BF0D8B">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RS"/>
              </w:rPr>
              <w:t xml:space="preserve"> </w:t>
            </w:r>
            <w:r>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rPr>
              <w:t>1</w:t>
            </w:r>
            <w:r w:rsidRPr="00BF0D8B">
              <w:rPr>
                <w:rFonts w:ascii="Times New Roman" w:hAnsi="Times New Roman" w:cs="Times New Roman"/>
                <w:b/>
                <w:sz w:val="24"/>
                <w:szCs w:val="24"/>
                <w:u w:val="single"/>
                <w:lang w:val="sr-Cyrl-RS"/>
              </w:rPr>
              <w:t>96</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lang w:val="sr-Cyrl-RS"/>
              </w:rPr>
              <w:t>-</w:t>
            </w:r>
            <w:r w:rsidRPr="00BF0D8B">
              <w:rPr>
                <w:rFonts w:ascii="Times New Roman" w:hAnsi="Times New Roman" w:cs="Times New Roman"/>
                <w:b/>
                <w:sz w:val="24"/>
                <w:szCs w:val="24"/>
                <w:u w:val="single"/>
              </w:rPr>
              <w:t xml:space="preserve"> 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CS"/>
              </w:rPr>
              <w:t xml:space="preserve">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rPr>
              <w:t>1</w:t>
            </w:r>
            <w:r w:rsidRPr="00BF0D8B">
              <w:rPr>
                <w:rFonts w:ascii="Times New Roman" w:hAnsi="Times New Roman" w:cs="Times New Roman"/>
                <w:b/>
                <w:sz w:val="24"/>
                <w:szCs w:val="24"/>
                <w:u w:val="single"/>
                <w:lang w:val="sr-Cyrl-RS"/>
              </w:rPr>
              <w:t>70</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lang w:val="sr-Cyrl-RS"/>
              </w:rPr>
              <w:t>-</w:t>
            </w:r>
            <w:r w:rsidRPr="00BF0D8B">
              <w:rPr>
                <w:rFonts w:ascii="Times New Roman" w:hAnsi="Times New Roman" w:cs="Times New Roman"/>
                <w:b/>
                <w:sz w:val="24"/>
                <w:szCs w:val="24"/>
                <w:u w:val="single"/>
              </w:rPr>
              <w:t xml:space="preserve"> II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RS"/>
              </w:rPr>
              <w:t>118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t>
            </w:r>
            <w:r w:rsidRPr="00BF0D8B">
              <w:rPr>
                <w:rFonts w:ascii="Times New Roman" w:hAnsi="Times New Roman" w:cs="Times New Roman"/>
                <w:b/>
                <w:sz w:val="24"/>
                <w:szCs w:val="24"/>
                <w:u w:val="single"/>
              </w:rPr>
              <w:t xml:space="preserve">III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RS"/>
              </w:rPr>
              <w:t>78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lang w:val="sr-Cyrl-RS"/>
              </w:rPr>
              <w:t>-</w:t>
            </w:r>
            <w:r w:rsidRPr="00BF0D8B">
              <w:rPr>
                <w:rFonts w:ascii="Times New Roman" w:hAnsi="Times New Roman" w:cs="Times New Roman"/>
                <w:b/>
                <w:sz w:val="24"/>
                <w:szCs w:val="24"/>
                <w:u w:val="single"/>
              </w:rPr>
              <w:t xml:space="preserve"> </w:t>
            </w:r>
            <w:proofErr w:type="spellStart"/>
            <w:r w:rsidRPr="00BF0D8B">
              <w:rPr>
                <w:rFonts w:ascii="Times New Roman" w:hAnsi="Times New Roman" w:cs="Times New Roman"/>
                <w:b/>
                <w:sz w:val="24"/>
                <w:szCs w:val="24"/>
                <w:u w:val="single"/>
              </w:rPr>
              <w:t>поткровље</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RS"/>
              </w:rPr>
              <w:t>65</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D35F16" w:rsidRDefault="00AA3D45" w:rsidP="00C22A85">
            <w:pPr>
              <w:pStyle w:val="NoSpacing"/>
              <w:spacing w:line="276" w:lineRule="auto"/>
              <w:jc w:val="both"/>
              <w:rPr>
                <w:rFonts w:ascii="Times New Roman" w:hAnsi="Times New Roman" w:cs="Times New Roman"/>
                <w:b/>
                <w:sz w:val="24"/>
                <w:szCs w:val="24"/>
                <w:u w:val="single"/>
                <w:lang w:val="sr-Cyrl-RS"/>
              </w:rPr>
            </w:pPr>
            <w:r w:rsidRPr="00BF0D8B">
              <w:rPr>
                <w:rFonts w:ascii="Times New Roman" w:hAnsi="Times New Roman" w:cs="Times New Roman"/>
                <w:b/>
                <w:sz w:val="24"/>
                <w:szCs w:val="24"/>
                <w:u w:val="single"/>
              </w:rPr>
              <w:t>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w:t>
            </w:r>
            <w:proofErr w:type="spellStart"/>
            <w:r w:rsidRPr="00BF0D8B">
              <w:rPr>
                <w:rFonts w:ascii="Times New Roman" w:hAnsi="Times New Roman" w:cs="Times New Roman"/>
                <w:b/>
                <w:sz w:val="24"/>
                <w:szCs w:val="24"/>
                <w:u w:val="single"/>
              </w:rPr>
              <w:t>Екстра</w:t>
            </w:r>
            <w:proofErr w:type="spellEnd"/>
            <w:r w:rsidRPr="00BF0D8B">
              <w:rPr>
                <w:rFonts w:ascii="Times New Roman" w:hAnsi="Times New Roman" w:cs="Times New Roman"/>
                <w:b/>
                <w:sz w:val="24"/>
                <w:szCs w:val="24"/>
                <w:u w:val="single"/>
              </w:rPr>
              <w:t xml:space="preserve">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RS"/>
              </w:rPr>
              <w:t>128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lang w:val="sr-Cyrl-RS"/>
              </w:rPr>
              <w:t xml:space="preserve"> 10</w:t>
            </w:r>
            <w:r w:rsidRPr="00BF0D8B">
              <w:rPr>
                <w:rFonts w:ascii="Times New Roman" w:hAnsi="Times New Roman" w:cs="Times New Roman"/>
                <w:b/>
                <w:sz w:val="24"/>
                <w:szCs w:val="24"/>
                <w:u w:val="single"/>
              </w:rPr>
              <w:t xml:space="preserve">0,00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II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RS"/>
              </w:rPr>
              <w:t>78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III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RS"/>
              </w:rPr>
              <w:t>57</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IV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Pr="00BF0D8B">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rPr>
              <w:t>2</w:t>
            </w:r>
            <w:r w:rsidRPr="00BF0D8B">
              <w:rPr>
                <w:rFonts w:ascii="Times New Roman" w:hAnsi="Times New Roman" w:cs="Times New Roman"/>
                <w:b/>
                <w:sz w:val="24"/>
                <w:szCs w:val="24"/>
                <w:u w:val="single"/>
                <w:lang w:val="sr-Cyrl-RS"/>
              </w:rPr>
              <w:t>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5000" w:type="pct"/>
            <w:tcBorders>
              <w:top w:val="nil"/>
              <w:left w:val="nil"/>
              <w:bottom w:val="single" w:sz="2" w:space="0" w:color="000000"/>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V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CS"/>
              </w:rPr>
              <w:t xml:space="preserve"> </w:t>
            </w:r>
            <w:r w:rsidRPr="00BF0D8B">
              <w:rPr>
                <w:rFonts w:ascii="Times New Roman" w:hAnsi="Times New Roman" w:cs="Times New Roman"/>
                <w:b/>
                <w:sz w:val="24"/>
                <w:szCs w:val="24"/>
                <w:u w:val="single"/>
                <w:lang w:val="sr-Cyrl-RS"/>
              </w:rPr>
              <w:t xml:space="preserve"> </w:t>
            </w:r>
            <w:r w:rsidRPr="00BF0D8B">
              <w:rPr>
                <w:rFonts w:ascii="Times New Roman" w:hAnsi="Times New Roman" w:cs="Times New Roman"/>
                <w:b/>
                <w:sz w:val="24"/>
                <w:szCs w:val="24"/>
                <w:u w:val="single"/>
              </w:rPr>
              <w:t>1</w:t>
            </w:r>
            <w:r w:rsidRPr="00BF0D8B">
              <w:rPr>
                <w:rFonts w:ascii="Times New Roman" w:hAnsi="Times New Roman" w:cs="Times New Roman"/>
                <w:b/>
                <w:sz w:val="24"/>
                <w:szCs w:val="24"/>
                <w:u w:val="single"/>
                <w:lang w:val="sr-Cyrl-RS"/>
              </w:rPr>
              <w:t>4</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bl>
    <w:p w:rsidR="00AA3D45" w:rsidRPr="00BF0D8B" w:rsidRDefault="00AA3D45" w:rsidP="00AA3D45">
      <w:pPr>
        <w:pStyle w:val="NoSpacing"/>
        <w:rPr>
          <w:rFonts w:ascii="Times New Roman" w:hAnsi="Times New Roman" w:cs="Times New Roman"/>
          <w:b/>
          <w:sz w:val="24"/>
          <w:szCs w:val="24"/>
          <w:u w:val="single"/>
          <w:lang w:val="sr-Latn-RS"/>
        </w:rPr>
      </w:pPr>
    </w:p>
    <w:p w:rsidR="00AA3D45" w:rsidRPr="00BF0D8B" w:rsidRDefault="00AA3D45" w:rsidP="00AA3D45">
      <w:pPr>
        <w:pStyle w:val="NoSpacing"/>
        <w:jc w:val="both"/>
        <w:rPr>
          <w:rFonts w:ascii="Times New Roman" w:hAnsi="Times New Roman" w:cs="Times New Roman"/>
          <w:b/>
          <w:bCs/>
          <w:sz w:val="24"/>
          <w:szCs w:val="24"/>
          <w:u w:val="single"/>
          <w:lang w:val="sr-Latn-RS"/>
        </w:rPr>
      </w:pPr>
      <w:r w:rsidRPr="00BF0D8B">
        <w:rPr>
          <w:rFonts w:ascii="Times New Roman" w:hAnsi="Times New Roman" w:cs="Times New Roman"/>
          <w:b/>
          <w:sz w:val="24"/>
          <w:szCs w:val="24"/>
          <w:u w:val="single"/>
          <w:lang w:val="ru-RU"/>
        </w:rPr>
        <w:t>Месечна закупнина за 1 м</w:t>
      </w:r>
      <w:r w:rsidRPr="00BF0D8B">
        <w:rPr>
          <w:rFonts w:ascii="Times New Roman" w:hAnsi="Times New Roman" w:cs="Times New Roman"/>
          <w:b/>
          <w:sz w:val="24"/>
          <w:szCs w:val="24"/>
          <w:u w:val="single"/>
          <w:vertAlign w:val="superscript"/>
          <w:lang w:val="ru-RU"/>
        </w:rPr>
        <w:t xml:space="preserve">2 </w:t>
      </w:r>
      <w:r w:rsidRPr="00BF0D8B">
        <w:rPr>
          <w:rFonts w:ascii="Times New Roman" w:hAnsi="Times New Roman" w:cs="Times New Roman"/>
          <w:b/>
          <w:sz w:val="24"/>
          <w:szCs w:val="24"/>
          <w:u w:val="single"/>
          <w:lang w:val="ru-RU"/>
        </w:rPr>
        <w:t xml:space="preserve">пословног простора у којој делатност обављају, дипломатска представништва страних држава у Републици Србији </w:t>
      </w:r>
      <w:r w:rsidRPr="00BF0D8B">
        <w:rPr>
          <w:rFonts w:ascii="Times New Roman" w:hAnsi="Times New Roman" w:cs="Times New Roman"/>
          <w:b/>
          <w:bCs/>
          <w:sz w:val="24"/>
          <w:szCs w:val="24"/>
          <w:u w:val="single"/>
          <w:lang w:val="sr-Cyrl-RS"/>
        </w:rPr>
        <w:t xml:space="preserve">, трговинска и </w:t>
      </w:r>
      <w:r w:rsidRPr="00BF0D8B">
        <w:rPr>
          <w:rFonts w:ascii="Times New Roman" w:hAnsi="Times New Roman" w:cs="Times New Roman"/>
          <w:b/>
          <w:bCs/>
          <w:sz w:val="24"/>
          <w:szCs w:val="24"/>
          <w:u w:val="single"/>
          <w:lang w:val="sr-Cyrl-RS"/>
        </w:rPr>
        <w:lastRenderedPageBreak/>
        <w:t>војна представништва и друге организације при дипломатско-конзуларним представништвима у Републици Србији, под условом реципроцитета, као и међународне организације за помоћ и сарадњу са земљама Европске уније,</w:t>
      </w:r>
      <w:r w:rsidRPr="00BF0D8B">
        <w:rPr>
          <w:rFonts w:ascii="Times New Roman" w:hAnsi="Times New Roman" w:cs="Times New Roman"/>
          <w:b/>
          <w:bCs/>
          <w:sz w:val="24"/>
          <w:szCs w:val="24"/>
          <w:u w:val="single"/>
          <w:lang w:val="sr-Latn-CS"/>
        </w:rPr>
        <w:t xml:space="preserve"> </w:t>
      </w:r>
      <w:r w:rsidRPr="00BF0D8B">
        <w:rPr>
          <w:rFonts w:ascii="Times New Roman" w:hAnsi="Times New Roman" w:cs="Times New Roman"/>
          <w:b/>
          <w:sz w:val="24"/>
          <w:szCs w:val="24"/>
          <w:u w:val="single"/>
          <w:lang w:val="ru-RU"/>
        </w:rPr>
        <w:t xml:space="preserve">уметници, струковне коморе, верске и хуманитарне организације, удружења и организације грађана из области науке, културе, просвете, социјалне и дечије заштите и спорта и удружења особа са инвалидитетом (под условом да се та ствар не користе за остваривање прихода), по зонама износи: </w:t>
      </w:r>
    </w:p>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973"/>
        <w:gridCol w:w="4417"/>
      </w:tblGrid>
      <w:tr w:rsidR="00AA3D45" w:rsidRPr="00BF0D8B" w:rsidTr="00C22A85">
        <w:trPr>
          <w:tblCellSpacing w:w="0" w:type="dxa"/>
        </w:trPr>
        <w:tc>
          <w:tcPr>
            <w:tcW w:w="0" w:type="auto"/>
            <w:gridSpan w:val="2"/>
            <w:tcBorders>
              <w:top w:val="single" w:sz="2" w:space="0" w:color="000000"/>
              <w:left w:val="nil"/>
              <w:bottom w:val="nil"/>
              <w:right w:val="nil"/>
            </w:tcBorders>
            <w:tcMar>
              <w:top w:w="15" w:type="dxa"/>
              <w:left w:w="15" w:type="dxa"/>
              <w:bottom w:w="15" w:type="dxa"/>
              <w:right w:w="15" w:type="dxa"/>
            </w:tcMar>
            <w:vAlign w:val="center"/>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bCs/>
                <w:sz w:val="24"/>
                <w:szCs w:val="24"/>
                <w:u w:val="single"/>
                <w:lang w:val="sr-Cyrl-CS"/>
              </w:rPr>
              <w:t xml:space="preserve">- </w:t>
            </w:r>
            <w:r w:rsidRPr="00BF0D8B">
              <w:rPr>
                <w:rFonts w:ascii="Times New Roman" w:hAnsi="Times New Roman" w:cs="Times New Roman"/>
                <w:b/>
                <w:bCs/>
                <w:sz w:val="24"/>
                <w:szCs w:val="24"/>
                <w:u w:val="single"/>
                <w:lang w:val="ru-RU"/>
              </w:rPr>
              <w:t xml:space="preserve">Централна зона </w:t>
            </w:r>
            <w:r w:rsidRPr="00BF0D8B">
              <w:rPr>
                <w:rFonts w:ascii="Times New Roman" w:hAnsi="Times New Roman" w:cs="Times New Roman"/>
                <w:b/>
                <w:bCs/>
                <w:sz w:val="24"/>
                <w:szCs w:val="24"/>
                <w:u w:val="single"/>
                <w:lang w:val="ru-RU"/>
              </w:rPr>
              <w:tab/>
            </w:r>
            <w:r w:rsidRPr="00BF0D8B">
              <w:rPr>
                <w:rFonts w:ascii="Times New Roman" w:hAnsi="Times New Roman" w:cs="Times New Roman"/>
                <w:b/>
                <w:bCs/>
                <w:sz w:val="24"/>
                <w:szCs w:val="24"/>
                <w:u w:val="single"/>
                <w:lang w:val="ru-RU"/>
              </w:rPr>
              <w:tab/>
              <w:t xml:space="preserve">                  </w:t>
            </w:r>
            <w:r>
              <w:rPr>
                <w:rFonts w:ascii="Times New Roman" w:hAnsi="Times New Roman" w:cs="Times New Roman"/>
                <w:b/>
                <w:bCs/>
                <w:sz w:val="24"/>
                <w:szCs w:val="24"/>
                <w:u w:val="single"/>
                <w:lang w:val="ru-RU"/>
              </w:rPr>
              <w:t xml:space="preserve">                                                                 </w:t>
            </w:r>
            <w:r w:rsidRPr="00BF0D8B">
              <w:rPr>
                <w:rFonts w:ascii="Times New Roman" w:hAnsi="Times New Roman" w:cs="Times New Roman"/>
                <w:b/>
                <w:bCs/>
                <w:sz w:val="24"/>
                <w:szCs w:val="24"/>
                <w:u w:val="single"/>
                <w:lang w:val="ru-RU"/>
              </w:rPr>
              <w:t>128,00 динара</w:t>
            </w:r>
          </w:p>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bCs/>
                <w:sz w:val="24"/>
                <w:szCs w:val="24"/>
                <w:u w:val="single"/>
                <w:lang w:val="ru-RU"/>
              </w:rPr>
              <w:t xml:space="preserve"> приземље   </w:t>
            </w:r>
            <w:r w:rsidRPr="00BF0D8B">
              <w:rPr>
                <w:rFonts w:ascii="Times New Roman" w:hAnsi="Times New Roman" w:cs="Times New Roman"/>
                <w:b/>
                <w:bCs/>
                <w:sz w:val="24"/>
                <w:szCs w:val="24"/>
                <w:u w:val="single"/>
                <w:lang w:val="ru-RU"/>
              </w:rPr>
              <w:tab/>
            </w:r>
            <w:r w:rsidRPr="00BF0D8B">
              <w:rPr>
                <w:rFonts w:ascii="Times New Roman" w:hAnsi="Times New Roman" w:cs="Times New Roman"/>
                <w:b/>
                <w:bCs/>
                <w:sz w:val="24"/>
                <w:szCs w:val="24"/>
                <w:u w:val="single"/>
                <w:lang w:val="ru-RU"/>
              </w:rPr>
              <w:tab/>
              <w:t xml:space="preserve">                 </w:t>
            </w:r>
            <w:r>
              <w:rPr>
                <w:rFonts w:ascii="Times New Roman" w:hAnsi="Times New Roman" w:cs="Times New Roman"/>
                <w:b/>
                <w:bCs/>
                <w:sz w:val="24"/>
                <w:szCs w:val="24"/>
                <w:u w:val="single"/>
                <w:lang w:val="ru-RU"/>
              </w:rPr>
              <w:t xml:space="preserve">                                                                             </w:t>
            </w:r>
            <w:r w:rsidRPr="00BF0D8B">
              <w:rPr>
                <w:rFonts w:ascii="Times New Roman" w:hAnsi="Times New Roman" w:cs="Times New Roman"/>
                <w:b/>
                <w:bCs/>
                <w:sz w:val="24"/>
                <w:szCs w:val="24"/>
                <w:u w:val="single"/>
                <w:lang w:val="ru-RU"/>
              </w:rPr>
              <w:t xml:space="preserve"> 128,00 динара </w:t>
            </w:r>
          </w:p>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bCs/>
                <w:sz w:val="24"/>
                <w:szCs w:val="24"/>
                <w:u w:val="single"/>
                <w:lang w:val="ru-RU"/>
              </w:rPr>
              <w:t xml:space="preserve"> први спрат </w:t>
            </w:r>
            <w:r w:rsidRPr="00BF0D8B">
              <w:rPr>
                <w:rFonts w:ascii="Times New Roman" w:hAnsi="Times New Roman" w:cs="Times New Roman"/>
                <w:b/>
                <w:bCs/>
                <w:sz w:val="24"/>
                <w:szCs w:val="24"/>
                <w:u w:val="single"/>
                <w:lang w:val="ru-RU"/>
              </w:rPr>
              <w:tab/>
            </w:r>
            <w:r w:rsidRPr="00BF0D8B">
              <w:rPr>
                <w:rFonts w:ascii="Times New Roman" w:hAnsi="Times New Roman" w:cs="Times New Roman"/>
                <w:b/>
                <w:bCs/>
                <w:sz w:val="24"/>
                <w:szCs w:val="24"/>
                <w:u w:val="single"/>
                <w:lang w:val="ru-RU"/>
              </w:rPr>
              <w:tab/>
              <w:t xml:space="preserve">                     </w:t>
            </w:r>
            <w:r>
              <w:rPr>
                <w:rFonts w:ascii="Times New Roman" w:hAnsi="Times New Roman" w:cs="Times New Roman"/>
                <w:b/>
                <w:bCs/>
                <w:sz w:val="24"/>
                <w:szCs w:val="24"/>
                <w:u w:val="single"/>
                <w:lang w:val="ru-RU"/>
              </w:rPr>
              <w:t xml:space="preserve">                                                                            </w:t>
            </w:r>
            <w:r w:rsidRPr="00BF0D8B">
              <w:rPr>
                <w:rFonts w:ascii="Times New Roman" w:hAnsi="Times New Roman" w:cs="Times New Roman"/>
                <w:b/>
                <w:bCs/>
                <w:sz w:val="24"/>
                <w:szCs w:val="24"/>
                <w:u w:val="single"/>
                <w:lang w:val="ru-RU"/>
              </w:rPr>
              <w:t>85,00 динара</w:t>
            </w:r>
          </w:p>
          <w:p w:rsidR="00AA3D45" w:rsidRPr="00BF0D8B" w:rsidRDefault="00AA3D45" w:rsidP="00C22A85">
            <w:pPr>
              <w:pStyle w:val="NoSpacing"/>
              <w:spacing w:line="276" w:lineRule="auto"/>
              <w:jc w:val="both"/>
              <w:rPr>
                <w:rFonts w:ascii="Times New Roman" w:hAnsi="Times New Roman" w:cs="Times New Roman"/>
                <w:b/>
                <w:bCs/>
                <w:sz w:val="24"/>
                <w:szCs w:val="24"/>
                <w:u w:val="single"/>
                <w:lang w:val="ru-RU"/>
              </w:rPr>
            </w:pPr>
            <w:r w:rsidRPr="00BF0D8B">
              <w:rPr>
                <w:rFonts w:ascii="Times New Roman" w:hAnsi="Times New Roman" w:cs="Times New Roman"/>
                <w:b/>
                <w:bCs/>
                <w:sz w:val="24"/>
                <w:szCs w:val="24"/>
                <w:u w:val="single"/>
                <w:lang w:val="ru-RU"/>
              </w:rPr>
              <w:t xml:space="preserve"> други спрат </w:t>
            </w:r>
            <w:r w:rsidRPr="00BF0D8B">
              <w:rPr>
                <w:rFonts w:ascii="Times New Roman" w:hAnsi="Times New Roman" w:cs="Times New Roman"/>
                <w:b/>
                <w:bCs/>
                <w:sz w:val="24"/>
                <w:szCs w:val="24"/>
                <w:u w:val="single"/>
                <w:lang w:val="ru-RU"/>
              </w:rPr>
              <w:tab/>
            </w:r>
            <w:r w:rsidRPr="00BF0D8B">
              <w:rPr>
                <w:rFonts w:ascii="Times New Roman" w:hAnsi="Times New Roman" w:cs="Times New Roman"/>
                <w:b/>
                <w:bCs/>
                <w:sz w:val="24"/>
                <w:szCs w:val="24"/>
                <w:u w:val="single"/>
                <w:lang w:val="ru-RU"/>
              </w:rPr>
              <w:tab/>
              <w:t xml:space="preserve">                                         </w:t>
            </w:r>
            <w:r>
              <w:rPr>
                <w:rFonts w:ascii="Times New Roman" w:hAnsi="Times New Roman" w:cs="Times New Roman"/>
                <w:b/>
                <w:bCs/>
                <w:sz w:val="24"/>
                <w:szCs w:val="24"/>
                <w:u w:val="single"/>
                <w:lang w:val="ru-RU"/>
              </w:rPr>
              <w:t xml:space="preserve">                                                        </w:t>
            </w:r>
            <w:r w:rsidRPr="00BF0D8B">
              <w:rPr>
                <w:rFonts w:ascii="Times New Roman" w:hAnsi="Times New Roman" w:cs="Times New Roman"/>
                <w:b/>
                <w:bCs/>
                <w:sz w:val="24"/>
                <w:szCs w:val="24"/>
                <w:u w:val="single"/>
                <w:lang w:val="ru-RU"/>
              </w:rPr>
              <w:t xml:space="preserve">71,00 </w:t>
            </w:r>
            <w:r>
              <w:rPr>
                <w:rFonts w:ascii="Times New Roman" w:hAnsi="Times New Roman" w:cs="Times New Roman"/>
                <w:b/>
                <w:bCs/>
                <w:sz w:val="24"/>
                <w:szCs w:val="24"/>
                <w:u w:val="single"/>
                <w:lang w:val="ru-RU"/>
              </w:rPr>
              <w:t>динара</w:t>
            </w:r>
          </w:p>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lang w:val="ru-RU"/>
              </w:rPr>
              <w:t xml:space="preserve">- ТПЦ "Калча"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lang w:val="ru-RU"/>
              </w:rPr>
              <w:t xml:space="preserve">приземље </w:t>
            </w:r>
            <w:r>
              <w:rPr>
                <w:rFonts w:ascii="Times New Roman" w:hAnsi="Times New Roman" w:cs="Times New Roman"/>
                <w:b/>
                <w:sz w:val="24"/>
                <w:szCs w:val="24"/>
                <w:u w:val="single"/>
                <w:lang w:val="ru-RU"/>
              </w:rPr>
              <w:t xml:space="preserve">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114,00 динара</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rPr>
              <w:t>I</w:t>
            </w:r>
            <w:r w:rsidRPr="00BF0D8B">
              <w:rPr>
                <w:rFonts w:ascii="Times New Roman" w:hAnsi="Times New Roman" w:cs="Times New Roman"/>
                <w:b/>
                <w:sz w:val="24"/>
                <w:szCs w:val="24"/>
                <w:u w:val="single"/>
                <w:lang w:val="ru-RU"/>
              </w:rPr>
              <w:t xml:space="preserve"> спрат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lang w:val="ru-RU"/>
              </w:rPr>
              <w:t>8</w:t>
            </w:r>
            <w:r w:rsidRPr="00BF0D8B">
              <w:rPr>
                <w:rFonts w:ascii="Times New Roman" w:hAnsi="Times New Roman" w:cs="Times New Roman"/>
                <w:b/>
                <w:sz w:val="24"/>
                <w:szCs w:val="24"/>
                <w:u w:val="single"/>
              </w:rPr>
              <w:t>6</w:t>
            </w:r>
            <w:r w:rsidRPr="00BF0D8B">
              <w:rPr>
                <w:rFonts w:ascii="Times New Roman" w:hAnsi="Times New Roman" w:cs="Times New Roman"/>
                <w:b/>
                <w:sz w:val="24"/>
                <w:szCs w:val="24"/>
                <w:u w:val="single"/>
                <w:lang w:val="ru-RU"/>
              </w:rPr>
              <w:t xml:space="preserve">,00 динара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rPr>
              <w:t>II</w:t>
            </w:r>
            <w:r w:rsidRPr="00BF0D8B">
              <w:rPr>
                <w:rFonts w:ascii="Times New Roman" w:hAnsi="Times New Roman" w:cs="Times New Roman"/>
                <w:b/>
                <w:sz w:val="24"/>
                <w:szCs w:val="24"/>
                <w:u w:val="single"/>
                <w:lang w:val="ru-RU"/>
              </w:rPr>
              <w:t xml:space="preserve"> спрат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lang w:val="ru-RU"/>
              </w:rPr>
              <w:t xml:space="preserve">71,00 динара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rPr>
              <w:t>III</w:t>
            </w:r>
            <w:r w:rsidRPr="00BF0D8B">
              <w:rPr>
                <w:rFonts w:ascii="Times New Roman" w:hAnsi="Times New Roman" w:cs="Times New Roman"/>
                <w:b/>
                <w:sz w:val="24"/>
                <w:szCs w:val="24"/>
                <w:u w:val="single"/>
                <w:lang w:val="ru-RU"/>
              </w:rPr>
              <w:t xml:space="preserve"> спрат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ru-RU"/>
              </w:rPr>
            </w:pPr>
            <w:r w:rsidRPr="00BF0D8B">
              <w:rPr>
                <w:rFonts w:ascii="Times New Roman" w:hAnsi="Times New Roman" w:cs="Times New Roman"/>
                <w:b/>
                <w:sz w:val="24"/>
                <w:szCs w:val="24"/>
                <w:u w:val="single"/>
                <w:lang w:val="ru-RU"/>
              </w:rPr>
              <w:t xml:space="preserve">43,00 динара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tcPr>
          <w:p w:rsidR="00AA3D45" w:rsidRPr="00BF0D8B" w:rsidRDefault="00AA3D45" w:rsidP="00C22A85">
            <w:pPr>
              <w:pStyle w:val="NoSpacing"/>
              <w:spacing w:line="276" w:lineRule="auto"/>
              <w:jc w:val="both"/>
              <w:rPr>
                <w:rFonts w:ascii="Times New Roman" w:hAnsi="Times New Roman" w:cs="Times New Roman"/>
                <w:b/>
                <w:sz w:val="24"/>
                <w:szCs w:val="24"/>
                <w:u w:val="single"/>
                <w:lang w:val="sr-Cyrl-RS"/>
              </w:rPr>
            </w:pPr>
          </w:p>
          <w:p w:rsidR="00AA3D45" w:rsidRPr="00BF0D8B" w:rsidRDefault="00AA3D45" w:rsidP="00C22A85">
            <w:pPr>
              <w:pStyle w:val="NoSpacing"/>
              <w:spacing w:line="276" w:lineRule="auto"/>
              <w:jc w:val="both"/>
              <w:rPr>
                <w:rFonts w:ascii="Times New Roman" w:hAnsi="Times New Roman" w:cs="Times New Roman"/>
                <w:b/>
                <w:sz w:val="24"/>
                <w:szCs w:val="24"/>
                <w:u w:val="single"/>
                <w:lang w:val="sr-Cyrl-CS"/>
              </w:rPr>
            </w:pPr>
          </w:p>
        </w:tc>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sr-Cyrl-RS"/>
              </w:rPr>
            </w:pP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ru-RU"/>
              </w:rPr>
              <w:t xml:space="preserve">- </w:t>
            </w:r>
            <w:r w:rsidRPr="00BF0D8B">
              <w:rPr>
                <w:rFonts w:ascii="Times New Roman" w:hAnsi="Times New Roman" w:cs="Times New Roman"/>
                <w:b/>
                <w:sz w:val="24"/>
                <w:szCs w:val="24"/>
                <w:u w:val="single"/>
              </w:rPr>
              <w:t>ТПЦ "</w:t>
            </w:r>
            <w:proofErr w:type="spellStart"/>
            <w:r w:rsidRPr="00BF0D8B">
              <w:rPr>
                <w:rFonts w:ascii="Times New Roman" w:hAnsi="Times New Roman" w:cs="Times New Roman"/>
                <w:b/>
                <w:sz w:val="24"/>
                <w:szCs w:val="24"/>
                <w:u w:val="single"/>
              </w:rPr>
              <w:t>Горча</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sr-Cyrl-RS"/>
              </w:rPr>
            </w:pP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hideMark/>
          </w:tcPr>
          <w:p w:rsidR="00AA3D45" w:rsidRPr="00AC4FD6" w:rsidRDefault="00AA3D45" w:rsidP="00C22A85">
            <w:pPr>
              <w:pStyle w:val="NoSpacing"/>
              <w:spacing w:line="276" w:lineRule="auto"/>
              <w:jc w:val="both"/>
              <w:rPr>
                <w:rFonts w:ascii="Times New Roman" w:hAnsi="Times New Roman" w:cs="Times New Roman"/>
                <w:b/>
                <w:sz w:val="24"/>
                <w:szCs w:val="24"/>
                <w:u w:val="single"/>
                <w:lang w:val="sr-Cyrl-RS"/>
              </w:rPr>
            </w:pPr>
            <w:proofErr w:type="spellStart"/>
            <w:r w:rsidRPr="00BF0D8B">
              <w:rPr>
                <w:rFonts w:ascii="Times New Roman" w:hAnsi="Times New Roman" w:cs="Times New Roman"/>
                <w:b/>
                <w:sz w:val="24"/>
                <w:szCs w:val="24"/>
                <w:u w:val="single"/>
              </w:rPr>
              <w:t>приземље</w:t>
            </w:r>
            <w:proofErr w:type="spellEnd"/>
            <w:r w:rsidRPr="00BF0D8B">
              <w:rPr>
                <w:rFonts w:ascii="Times New Roman" w:hAnsi="Times New Roman" w:cs="Times New Roman"/>
                <w:b/>
                <w:sz w:val="24"/>
                <w:szCs w:val="24"/>
                <w:u w:val="single"/>
              </w:rPr>
              <w:t xml:space="preserve"> </w:t>
            </w:r>
            <w:r>
              <w:rPr>
                <w:rFonts w:ascii="Times New Roman" w:hAnsi="Times New Roman" w:cs="Times New Roman"/>
                <w:b/>
                <w:sz w:val="24"/>
                <w:szCs w:val="24"/>
                <w:u w:val="single"/>
                <w:lang w:val="sr-Cyrl-RS"/>
              </w:rPr>
              <w:t xml:space="preserve">                                                                         </w:t>
            </w:r>
          </w:p>
        </w:tc>
        <w:tc>
          <w:tcPr>
            <w:tcW w:w="0" w:type="auto"/>
            <w:tcBorders>
              <w:top w:val="nil"/>
              <w:left w:val="nil"/>
              <w:bottom w:val="nil"/>
              <w:right w:val="nil"/>
            </w:tcBorders>
            <w:tcMar>
              <w:top w:w="15" w:type="dxa"/>
              <w:left w:w="15" w:type="dxa"/>
              <w:bottom w:w="15" w:type="dxa"/>
              <w:right w:w="15" w:type="dxa"/>
            </w:tcMar>
            <w:hideMark/>
          </w:tcPr>
          <w:p w:rsidR="00AA3D45" w:rsidRPr="00AF54AD" w:rsidRDefault="00AA3D45" w:rsidP="00C22A85">
            <w:pPr>
              <w:pStyle w:val="NoSpacing"/>
              <w:spacing w:line="276" w:lineRule="auto"/>
              <w:jc w:val="both"/>
              <w:rPr>
                <w:rFonts w:ascii="Times New Roman" w:hAnsi="Times New Roman" w:cs="Times New Roman"/>
                <w:b/>
                <w:sz w:val="24"/>
                <w:szCs w:val="24"/>
                <w:u w:val="single"/>
                <w:lang w:val="sr-Cyrl-RS"/>
              </w:rPr>
            </w:pPr>
            <w:r w:rsidRPr="00BF0D8B">
              <w:rPr>
                <w:rFonts w:ascii="Times New Roman" w:hAnsi="Times New Roman" w:cs="Times New Roman"/>
                <w:b/>
                <w:sz w:val="24"/>
                <w:szCs w:val="24"/>
                <w:u w:val="single"/>
                <w:lang w:val="sr-Cyrl-RS"/>
              </w:rPr>
              <w:t>10</w:t>
            </w:r>
            <w:r>
              <w:rPr>
                <w:rFonts w:ascii="Times New Roman" w:hAnsi="Times New Roman" w:cs="Times New Roman"/>
                <w:b/>
                <w:sz w:val="24"/>
                <w:szCs w:val="24"/>
                <w:u w:val="single"/>
              </w:rPr>
              <w:t xml:space="preserve">5,00 </w:t>
            </w:r>
            <w:proofErr w:type="spellStart"/>
            <w:r>
              <w:rPr>
                <w:rFonts w:ascii="Times New Roman" w:hAnsi="Times New Roman" w:cs="Times New Roman"/>
                <w:b/>
                <w:sz w:val="24"/>
                <w:szCs w:val="24"/>
                <w:u w:val="single"/>
              </w:rPr>
              <w:t>динар</w:t>
            </w:r>
            <w:proofErr w:type="spellEnd"/>
            <w:r>
              <w:rPr>
                <w:rFonts w:ascii="Times New Roman" w:hAnsi="Times New Roman" w:cs="Times New Roman"/>
                <w:b/>
                <w:sz w:val="24"/>
                <w:szCs w:val="24"/>
                <w:u w:val="single"/>
                <w:lang w:val="sr-Cyrl-RS"/>
              </w:rPr>
              <w:t>а</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proofErr w:type="spellStart"/>
            <w:r w:rsidRPr="00BF0D8B">
              <w:rPr>
                <w:rFonts w:ascii="Times New Roman" w:hAnsi="Times New Roman" w:cs="Times New Roman"/>
                <w:b/>
                <w:sz w:val="24"/>
                <w:szCs w:val="24"/>
                <w:u w:val="single"/>
              </w:rPr>
              <w:t>мезанин</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91</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78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II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65</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III </w:t>
            </w:r>
            <w:proofErr w:type="spellStart"/>
            <w:r w:rsidRPr="00BF0D8B">
              <w:rPr>
                <w:rFonts w:ascii="Times New Roman" w:hAnsi="Times New Roman" w:cs="Times New Roman"/>
                <w:b/>
                <w:sz w:val="24"/>
                <w:szCs w:val="24"/>
                <w:u w:val="single"/>
              </w:rPr>
              <w:t>спрат</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39</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proofErr w:type="spellStart"/>
            <w:r w:rsidRPr="00BF0D8B">
              <w:rPr>
                <w:rFonts w:ascii="Times New Roman" w:hAnsi="Times New Roman" w:cs="Times New Roman"/>
                <w:b/>
                <w:sz w:val="24"/>
                <w:szCs w:val="24"/>
                <w:u w:val="single"/>
              </w:rPr>
              <w:t>поткровље</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3</w:t>
            </w:r>
            <w:r w:rsidRPr="00BF0D8B">
              <w:rPr>
                <w:rFonts w:ascii="Times New Roman" w:hAnsi="Times New Roman" w:cs="Times New Roman"/>
                <w:b/>
                <w:sz w:val="24"/>
                <w:szCs w:val="24"/>
                <w:u w:val="single"/>
                <w:lang w:val="sr-Cyrl-RS"/>
              </w:rPr>
              <w:t>9</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sr-Cyrl-RS"/>
              </w:rPr>
            </w:pP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lang w:val="sr-Cyrl-RS"/>
              </w:rPr>
            </w:pP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w:t>
            </w:r>
            <w:proofErr w:type="spellStart"/>
            <w:r w:rsidRPr="00BF0D8B">
              <w:rPr>
                <w:rFonts w:ascii="Times New Roman" w:hAnsi="Times New Roman" w:cs="Times New Roman"/>
                <w:b/>
                <w:sz w:val="24"/>
                <w:szCs w:val="24"/>
                <w:u w:val="single"/>
              </w:rPr>
              <w:t>Екстра</w:t>
            </w:r>
            <w:proofErr w:type="spellEnd"/>
            <w:r w:rsidRPr="00BF0D8B">
              <w:rPr>
                <w:rFonts w:ascii="Times New Roman" w:hAnsi="Times New Roman" w:cs="Times New Roman"/>
                <w:b/>
                <w:sz w:val="24"/>
                <w:szCs w:val="24"/>
                <w:u w:val="single"/>
              </w:rPr>
              <w:t xml:space="preserve">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78</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71</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II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57</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III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43</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IV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nil"/>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1</w:t>
            </w:r>
            <w:r w:rsidRPr="00BF0D8B">
              <w:rPr>
                <w:rFonts w:ascii="Times New Roman" w:hAnsi="Times New Roman" w:cs="Times New Roman"/>
                <w:b/>
                <w:sz w:val="24"/>
                <w:szCs w:val="24"/>
                <w:u w:val="single"/>
                <w:lang w:val="sr-Cyrl-RS"/>
              </w:rPr>
              <w:t>4</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r w:rsidR="00AA3D45" w:rsidRPr="00BF0D8B" w:rsidTr="00C22A85">
        <w:trPr>
          <w:tblCellSpacing w:w="0" w:type="dxa"/>
        </w:trPr>
        <w:tc>
          <w:tcPr>
            <w:tcW w:w="0" w:type="auto"/>
            <w:tcBorders>
              <w:top w:val="nil"/>
              <w:left w:val="nil"/>
              <w:bottom w:val="single" w:sz="2" w:space="0" w:color="000000"/>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rPr>
              <w:t xml:space="preserve">- V </w:t>
            </w:r>
            <w:proofErr w:type="spellStart"/>
            <w:r w:rsidRPr="00BF0D8B">
              <w:rPr>
                <w:rFonts w:ascii="Times New Roman" w:hAnsi="Times New Roman" w:cs="Times New Roman"/>
                <w:b/>
                <w:sz w:val="24"/>
                <w:szCs w:val="24"/>
                <w:u w:val="single"/>
              </w:rPr>
              <w:t>зона</w:t>
            </w:r>
            <w:proofErr w:type="spellEnd"/>
            <w:r w:rsidRPr="00BF0D8B">
              <w:rPr>
                <w:rFonts w:ascii="Times New Roman" w:hAnsi="Times New Roman" w:cs="Times New Roman"/>
                <w:b/>
                <w:sz w:val="24"/>
                <w:szCs w:val="24"/>
                <w:u w:val="single"/>
              </w:rPr>
              <w:t xml:space="preserve"> </w:t>
            </w:r>
          </w:p>
        </w:tc>
        <w:tc>
          <w:tcPr>
            <w:tcW w:w="0" w:type="auto"/>
            <w:tcBorders>
              <w:top w:val="nil"/>
              <w:left w:val="nil"/>
              <w:bottom w:val="single" w:sz="2" w:space="0" w:color="000000"/>
              <w:right w:val="nil"/>
            </w:tcBorders>
            <w:tcMar>
              <w:top w:w="15" w:type="dxa"/>
              <w:left w:w="15" w:type="dxa"/>
              <w:bottom w:w="15" w:type="dxa"/>
              <w:right w:w="15" w:type="dxa"/>
            </w:tcMar>
            <w:vAlign w:val="center"/>
            <w:hideMark/>
          </w:tcPr>
          <w:p w:rsidR="00AA3D45" w:rsidRPr="00BF0D8B" w:rsidRDefault="00AA3D45" w:rsidP="00C22A85">
            <w:pPr>
              <w:pStyle w:val="NoSpacing"/>
              <w:spacing w:line="276" w:lineRule="auto"/>
              <w:jc w:val="both"/>
              <w:rPr>
                <w:rFonts w:ascii="Times New Roman" w:hAnsi="Times New Roman" w:cs="Times New Roman"/>
                <w:b/>
                <w:sz w:val="24"/>
                <w:szCs w:val="24"/>
                <w:u w:val="single"/>
              </w:rPr>
            </w:pPr>
            <w:r w:rsidRPr="00BF0D8B">
              <w:rPr>
                <w:rFonts w:ascii="Times New Roman" w:hAnsi="Times New Roman" w:cs="Times New Roman"/>
                <w:b/>
                <w:sz w:val="24"/>
                <w:szCs w:val="24"/>
                <w:u w:val="single"/>
                <w:lang w:val="sr-Cyrl-RS"/>
              </w:rPr>
              <w:t>7</w:t>
            </w:r>
            <w:r w:rsidRPr="00BF0D8B">
              <w:rPr>
                <w:rFonts w:ascii="Times New Roman" w:hAnsi="Times New Roman" w:cs="Times New Roman"/>
                <w:b/>
                <w:sz w:val="24"/>
                <w:szCs w:val="24"/>
                <w:u w:val="single"/>
              </w:rPr>
              <w:t xml:space="preserve">,00 </w:t>
            </w:r>
            <w:proofErr w:type="spellStart"/>
            <w:r w:rsidRPr="00BF0D8B">
              <w:rPr>
                <w:rFonts w:ascii="Times New Roman" w:hAnsi="Times New Roman" w:cs="Times New Roman"/>
                <w:b/>
                <w:sz w:val="24"/>
                <w:szCs w:val="24"/>
                <w:u w:val="single"/>
              </w:rPr>
              <w:t>динара</w:t>
            </w:r>
            <w:proofErr w:type="spellEnd"/>
            <w:r w:rsidRPr="00BF0D8B">
              <w:rPr>
                <w:rFonts w:ascii="Times New Roman" w:hAnsi="Times New Roman" w:cs="Times New Roman"/>
                <w:b/>
                <w:sz w:val="24"/>
                <w:szCs w:val="24"/>
                <w:u w:val="single"/>
              </w:rPr>
              <w:t xml:space="preserve"> </w:t>
            </w:r>
          </w:p>
        </w:tc>
      </w:tr>
    </w:tbl>
    <w:p w:rsidR="00AA3D45" w:rsidRPr="00BF0D8B" w:rsidRDefault="00AA3D45" w:rsidP="00AA3D45">
      <w:pPr>
        <w:pStyle w:val="NoSpacing"/>
        <w:rPr>
          <w:rFonts w:ascii="Times New Roman" w:hAnsi="Times New Roman" w:cs="Times New Roman"/>
          <w:b/>
          <w:bCs/>
          <w:sz w:val="24"/>
          <w:szCs w:val="24"/>
          <w:u w:val="single"/>
          <w:lang w:val="ru-RU"/>
        </w:rPr>
      </w:pPr>
      <w:bookmarkStart w:id="4" w:name="clan_71"/>
      <w:bookmarkEnd w:id="4"/>
    </w:p>
    <w:p w:rsidR="00AA3D45" w:rsidRPr="00BF0D8B" w:rsidRDefault="00AA3D45" w:rsidP="00AA3D45">
      <w:pPr>
        <w:pStyle w:val="NoSpacing"/>
        <w:jc w:val="both"/>
        <w:rPr>
          <w:rFonts w:ascii="Times New Roman" w:hAnsi="Times New Roman" w:cs="Times New Roman"/>
          <w:b/>
          <w:bCs/>
          <w:sz w:val="24"/>
          <w:szCs w:val="24"/>
          <w:u w:val="single"/>
          <w:lang w:val="ru-RU"/>
        </w:rPr>
      </w:pPr>
      <w:r w:rsidRPr="00BF0D8B">
        <w:rPr>
          <w:rFonts w:ascii="Times New Roman" w:hAnsi="Times New Roman" w:cs="Times New Roman"/>
          <w:b/>
          <w:bCs/>
          <w:sz w:val="24"/>
          <w:szCs w:val="24"/>
          <w:u w:val="single"/>
          <w:lang w:val="ru-RU"/>
        </w:rPr>
        <w:t>За пословни простор у којоме делатност обављају закупци из става 2. овог члана, уколико те ствари користе за обављање привредне делатности, примењиваће се месечна закупнина по квадратном метру  непокретних ствари, прописана чланом 58. ове Одлуке.</w:t>
      </w: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62.</w:t>
      </w:r>
    </w:p>
    <w:p w:rsidR="00AA3D45" w:rsidRPr="00BF0D8B" w:rsidRDefault="00AA3D45" w:rsidP="00AA3D45">
      <w:pPr>
        <w:pStyle w:val="NoSpacing"/>
        <w:jc w:val="both"/>
        <w:rPr>
          <w:rFonts w:ascii="Times New Roman" w:hAnsi="Times New Roman" w:cs="Times New Roman"/>
          <w:b/>
          <w:sz w:val="24"/>
          <w:szCs w:val="24"/>
          <w:u w:val="single"/>
          <w:lang w:val="ru-RU"/>
        </w:rPr>
      </w:pPr>
    </w:p>
    <w:p w:rsidR="00AA3D45" w:rsidRPr="00A94583" w:rsidRDefault="00AA3D45" w:rsidP="00AA3D45">
      <w:pPr>
        <w:spacing w:after="120"/>
        <w:ind w:firstLine="720"/>
        <w:jc w:val="both"/>
        <w:rPr>
          <w:b/>
          <w:u w:val="single"/>
          <w:lang w:val="ru-RU"/>
        </w:rPr>
      </w:pPr>
      <w:r w:rsidRPr="00A94583">
        <w:rPr>
          <w:b/>
          <w:u w:val="single"/>
          <w:lang w:val="ru-RU"/>
        </w:rPr>
        <w:lastRenderedPageBreak/>
        <w:t>Месечна закупнина за 1 м</w:t>
      </w:r>
      <w:r w:rsidRPr="00A94583">
        <w:rPr>
          <w:b/>
          <w:u w:val="single"/>
          <w:vertAlign w:val="superscript"/>
          <w:lang w:val="ru-RU"/>
        </w:rPr>
        <w:t xml:space="preserve">2 </w:t>
      </w:r>
      <w:r w:rsidRPr="00A94583">
        <w:rPr>
          <w:b/>
          <w:bCs/>
          <w:color w:val="000000"/>
          <w:u w:val="single"/>
          <w:lang w:val="ru-RU"/>
        </w:rPr>
        <w:t>непокретних ствари</w:t>
      </w:r>
      <w:r w:rsidRPr="00A94583">
        <w:rPr>
          <w:b/>
          <w:u w:val="single"/>
          <w:lang w:val="ru-RU"/>
        </w:rPr>
        <w:t xml:space="preserve">  у којима се искључиво обавља делатност старих заната, уметничких заната и послови домаће радиности одређених посебним прописом, по зонама износи: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5087"/>
        <w:gridCol w:w="4313"/>
      </w:tblGrid>
      <w:tr w:rsidR="00AA3D45" w:rsidRPr="00A94583" w:rsidTr="00C22A85">
        <w:trPr>
          <w:tblCellSpacing w:w="0" w:type="dxa"/>
        </w:trPr>
        <w:tc>
          <w:tcPr>
            <w:tcW w:w="0" w:type="auto"/>
            <w:gridSpan w:val="2"/>
            <w:tcBorders>
              <w:top w:val="single" w:sz="2" w:space="0" w:color="000000"/>
            </w:tcBorders>
            <w:vAlign w:val="center"/>
          </w:tcPr>
          <w:p w:rsidR="00AA3D45" w:rsidRPr="00A94583" w:rsidRDefault="00AA3D45" w:rsidP="00C22A85">
            <w:pPr>
              <w:pStyle w:val="NormalWeb"/>
              <w:spacing w:before="0" w:beforeAutospacing="0" w:after="0"/>
              <w:rPr>
                <w:b/>
                <w:u w:val="single"/>
                <w:lang w:val="ru-RU"/>
              </w:rPr>
            </w:pPr>
            <w:r w:rsidRPr="00A94583">
              <w:rPr>
                <w:b/>
                <w:bCs/>
                <w:color w:val="000000"/>
                <w:u w:val="single"/>
                <w:lang w:val="sr-Cyrl-CS"/>
              </w:rPr>
              <w:t xml:space="preserve">- </w:t>
            </w:r>
            <w:r w:rsidRPr="00A94583">
              <w:rPr>
                <w:b/>
                <w:bCs/>
                <w:color w:val="000000"/>
                <w:u w:val="single"/>
                <w:lang w:val="ru-RU"/>
              </w:rPr>
              <w:t xml:space="preserve">Централна зона </w:t>
            </w:r>
            <w:r w:rsidRPr="00A94583">
              <w:rPr>
                <w:b/>
                <w:bCs/>
                <w:color w:val="000000"/>
                <w:u w:val="single"/>
                <w:lang w:val="ru-RU"/>
              </w:rPr>
              <w:tab/>
            </w:r>
            <w:r w:rsidRPr="00A94583">
              <w:rPr>
                <w:b/>
                <w:bCs/>
                <w:color w:val="000000"/>
                <w:u w:val="single"/>
                <w:lang w:val="ru-RU"/>
              </w:rPr>
              <w:tab/>
              <w:t xml:space="preserve">                                                                                  712,00 динара</w:t>
            </w:r>
          </w:p>
          <w:p w:rsidR="00AA3D45" w:rsidRPr="00A94583" w:rsidRDefault="00AA3D45" w:rsidP="00C22A85">
            <w:pPr>
              <w:pStyle w:val="NormalWeb"/>
              <w:spacing w:before="0" w:beforeAutospacing="0" w:after="0"/>
              <w:rPr>
                <w:b/>
                <w:u w:val="single"/>
                <w:lang w:val="ru-RU"/>
              </w:rPr>
            </w:pPr>
            <w:r w:rsidRPr="00A94583">
              <w:rPr>
                <w:b/>
                <w:bCs/>
                <w:color w:val="000000"/>
                <w:u w:val="single"/>
                <w:lang w:val="ru-RU"/>
              </w:rPr>
              <w:t xml:space="preserve">- приземље </w:t>
            </w:r>
            <w:r w:rsidRPr="00A94583">
              <w:rPr>
                <w:b/>
                <w:bCs/>
                <w:color w:val="000000"/>
                <w:u w:val="single"/>
                <w:lang w:val="ru-RU"/>
              </w:rPr>
              <w:tab/>
            </w:r>
            <w:r w:rsidRPr="00A94583">
              <w:rPr>
                <w:b/>
                <w:bCs/>
                <w:color w:val="000000"/>
                <w:u w:val="single"/>
                <w:lang w:val="ru-RU"/>
              </w:rPr>
              <w:tab/>
              <w:t xml:space="preserve">                                                                                              712,00 динара  - први спрат </w:t>
            </w:r>
            <w:r w:rsidRPr="00A94583">
              <w:rPr>
                <w:b/>
                <w:bCs/>
                <w:color w:val="000000"/>
                <w:u w:val="single"/>
                <w:lang w:val="ru-RU"/>
              </w:rPr>
              <w:tab/>
            </w:r>
            <w:r w:rsidRPr="00A94583">
              <w:rPr>
                <w:b/>
                <w:bCs/>
                <w:color w:val="000000"/>
                <w:u w:val="single"/>
                <w:lang w:val="ru-RU"/>
              </w:rPr>
              <w:tab/>
              <w:t xml:space="preserve">                                                                                              429,00 динара - други спрат </w:t>
            </w:r>
            <w:r w:rsidRPr="00A94583">
              <w:rPr>
                <w:b/>
                <w:bCs/>
                <w:color w:val="000000"/>
                <w:u w:val="single"/>
                <w:lang w:val="ru-RU"/>
              </w:rPr>
              <w:tab/>
            </w:r>
            <w:r w:rsidRPr="00A94583">
              <w:rPr>
                <w:b/>
                <w:bCs/>
                <w:color w:val="000000"/>
                <w:u w:val="single"/>
                <w:lang w:val="ru-RU"/>
              </w:rPr>
              <w:tab/>
              <w:t xml:space="preserve">                                                                      </w:t>
            </w:r>
            <w:r>
              <w:rPr>
                <w:b/>
                <w:bCs/>
                <w:color w:val="000000"/>
                <w:u w:val="single"/>
                <w:lang w:val="ru-RU"/>
              </w:rPr>
              <w:t xml:space="preserve">            </w:t>
            </w:r>
            <w:r w:rsidRPr="00A94583">
              <w:rPr>
                <w:b/>
                <w:bCs/>
                <w:color w:val="000000"/>
                <w:u w:val="single"/>
                <w:lang w:val="ru-RU"/>
              </w:rPr>
              <w:t xml:space="preserve"> 285,00 динара</w:t>
            </w:r>
          </w:p>
          <w:p w:rsidR="00AA3D45" w:rsidRPr="00A94583" w:rsidRDefault="00AA3D45" w:rsidP="00C22A85">
            <w:pPr>
              <w:jc w:val="right"/>
              <w:rPr>
                <w:b/>
                <w:u w:val="single"/>
                <w:lang w:val="ru-RU"/>
              </w:rPr>
            </w:pP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rPr>
              <w:t xml:space="preserve">- ТПЦ "Калча" </w:t>
            </w:r>
          </w:p>
        </w:tc>
        <w:tc>
          <w:tcPr>
            <w:tcW w:w="0" w:type="auto"/>
            <w:vAlign w:val="center"/>
          </w:tcPr>
          <w:p w:rsidR="00AA3D45" w:rsidRPr="00A94583" w:rsidRDefault="00AA3D45" w:rsidP="00C22A85">
            <w:pPr>
              <w:jc w:val="center"/>
              <w:rPr>
                <w:b/>
                <w:u w:val="single"/>
              </w:rPr>
            </w:pPr>
            <w:r w:rsidRPr="00A94583">
              <w:rPr>
                <w:b/>
                <w:u w:val="single"/>
              </w:rPr>
              <w:t xml:space="preserve"> </w:t>
            </w:r>
          </w:p>
        </w:tc>
      </w:tr>
      <w:tr w:rsidR="00AA3D45" w:rsidRPr="00A94583" w:rsidTr="00C22A85">
        <w:trPr>
          <w:tblCellSpacing w:w="0" w:type="dxa"/>
        </w:trPr>
        <w:tc>
          <w:tcPr>
            <w:tcW w:w="0" w:type="auto"/>
            <w:vAlign w:val="center"/>
          </w:tcPr>
          <w:p w:rsidR="00AA3D45" w:rsidRPr="00790C0C" w:rsidRDefault="00AA3D45" w:rsidP="00C22A85">
            <w:pPr>
              <w:rPr>
                <w:b/>
                <w:u w:val="single"/>
                <w:lang w:val="sr-Cyrl-RS"/>
              </w:rPr>
            </w:pPr>
          </w:p>
        </w:tc>
        <w:tc>
          <w:tcPr>
            <w:tcW w:w="0" w:type="auto"/>
            <w:vAlign w:val="center"/>
          </w:tcPr>
          <w:p w:rsidR="00AA3D45" w:rsidRPr="00A94583" w:rsidRDefault="00AA3D45" w:rsidP="00C22A85">
            <w:pPr>
              <w:jc w:val="center"/>
              <w:rPr>
                <w:b/>
                <w:u w:val="single"/>
              </w:rPr>
            </w:pPr>
            <w:r w:rsidRPr="00A94583">
              <w:rPr>
                <w:b/>
                <w:u w:val="single"/>
              </w:rPr>
              <w:t xml:space="preserve"> </w:t>
            </w:r>
          </w:p>
        </w:tc>
      </w:tr>
      <w:tr w:rsidR="00AA3D45" w:rsidRPr="00A94583" w:rsidTr="00C22A85">
        <w:trPr>
          <w:tblCellSpacing w:w="0" w:type="dxa"/>
        </w:trPr>
        <w:tc>
          <w:tcPr>
            <w:tcW w:w="0" w:type="auto"/>
            <w:vAlign w:val="center"/>
          </w:tcPr>
          <w:p w:rsidR="00AA3D45" w:rsidRPr="00A94583" w:rsidRDefault="00AA3D45" w:rsidP="00C22A85">
            <w:pPr>
              <w:rPr>
                <w:b/>
                <w:u w:val="single"/>
                <w:lang w:val="sr-Cyrl-RS"/>
              </w:rPr>
            </w:pPr>
            <w:r w:rsidRPr="00A94583">
              <w:rPr>
                <w:b/>
                <w:u w:val="single"/>
                <w:lang w:val="sr-Cyrl-RS"/>
              </w:rPr>
              <w:t>-</w:t>
            </w:r>
            <w:r w:rsidRPr="00A94583">
              <w:rPr>
                <w:b/>
                <w:u w:val="single"/>
              </w:rPr>
              <w:t xml:space="preserve">приземље </w:t>
            </w:r>
          </w:p>
        </w:tc>
        <w:tc>
          <w:tcPr>
            <w:tcW w:w="0" w:type="auto"/>
            <w:vAlign w:val="center"/>
          </w:tcPr>
          <w:p w:rsidR="00AA3D45" w:rsidRPr="00A94583" w:rsidRDefault="00AA3D45" w:rsidP="00C22A85">
            <w:pPr>
              <w:jc w:val="right"/>
              <w:rPr>
                <w:b/>
                <w:u w:val="single"/>
              </w:rPr>
            </w:pPr>
            <w:r w:rsidRPr="00A94583">
              <w:rPr>
                <w:b/>
                <w:u w:val="single"/>
                <w:lang w:val="sr-Cyrl-RS"/>
              </w:rPr>
              <w:t>522</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lang w:val="sr-Cyrl-RS"/>
              </w:rPr>
              <w:t>-</w:t>
            </w:r>
            <w:r w:rsidRPr="00A94583">
              <w:rPr>
                <w:b/>
                <w:u w:val="single"/>
              </w:rPr>
              <w:t xml:space="preserve">I спрат </w:t>
            </w:r>
          </w:p>
        </w:tc>
        <w:tc>
          <w:tcPr>
            <w:tcW w:w="0" w:type="auto"/>
            <w:vAlign w:val="center"/>
          </w:tcPr>
          <w:p w:rsidR="00AA3D45" w:rsidRPr="00A94583" w:rsidRDefault="00AA3D45" w:rsidP="00C22A85">
            <w:pPr>
              <w:jc w:val="right"/>
              <w:rPr>
                <w:b/>
                <w:u w:val="single"/>
              </w:rPr>
            </w:pPr>
            <w:r w:rsidRPr="00A94583">
              <w:rPr>
                <w:b/>
                <w:u w:val="single"/>
                <w:lang w:val="sr-Cyrl-RS"/>
              </w:rPr>
              <w:t>4</w:t>
            </w:r>
            <w:r w:rsidRPr="00A94583">
              <w:rPr>
                <w:b/>
                <w:u w:val="single"/>
              </w:rPr>
              <w:t>5</w:t>
            </w:r>
            <w:r w:rsidRPr="00A94583">
              <w:rPr>
                <w:b/>
                <w:u w:val="single"/>
                <w:lang w:val="sr-Cyrl-RS"/>
              </w:rPr>
              <w:t>7</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lang w:val="sr-Cyrl-RS"/>
              </w:rPr>
              <w:t>-</w:t>
            </w:r>
            <w:r w:rsidRPr="00A94583">
              <w:rPr>
                <w:b/>
                <w:u w:val="single"/>
              </w:rPr>
              <w:t xml:space="preserve">II спрат </w:t>
            </w:r>
          </w:p>
        </w:tc>
        <w:tc>
          <w:tcPr>
            <w:tcW w:w="0" w:type="auto"/>
            <w:vAlign w:val="center"/>
          </w:tcPr>
          <w:p w:rsidR="00AA3D45" w:rsidRPr="00A94583" w:rsidRDefault="00AA3D45" w:rsidP="00C22A85">
            <w:pPr>
              <w:jc w:val="right"/>
              <w:rPr>
                <w:b/>
                <w:u w:val="single"/>
              </w:rPr>
            </w:pPr>
            <w:r w:rsidRPr="00A94583">
              <w:rPr>
                <w:b/>
                <w:u w:val="single"/>
              </w:rPr>
              <w:t>3</w:t>
            </w:r>
            <w:r w:rsidRPr="00A94583">
              <w:rPr>
                <w:b/>
                <w:u w:val="single"/>
                <w:lang w:val="sr-Cyrl-RS"/>
              </w:rPr>
              <w:t>92</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lang w:val="sr-Cyrl-RS"/>
              </w:rPr>
              <w:t>-</w:t>
            </w:r>
            <w:r w:rsidRPr="00A94583">
              <w:rPr>
                <w:b/>
                <w:u w:val="single"/>
              </w:rPr>
              <w:t xml:space="preserve">III спрат </w:t>
            </w:r>
          </w:p>
        </w:tc>
        <w:tc>
          <w:tcPr>
            <w:tcW w:w="0" w:type="auto"/>
            <w:vAlign w:val="center"/>
          </w:tcPr>
          <w:p w:rsidR="00AA3D45" w:rsidRPr="00A94583" w:rsidRDefault="00AA3D45" w:rsidP="00C22A85">
            <w:pPr>
              <w:jc w:val="right"/>
              <w:rPr>
                <w:b/>
                <w:u w:val="single"/>
              </w:rPr>
            </w:pPr>
            <w:r w:rsidRPr="00A94583">
              <w:rPr>
                <w:b/>
                <w:u w:val="single"/>
                <w:lang w:val="sr-Cyrl-RS"/>
              </w:rPr>
              <w:t>327</w:t>
            </w:r>
            <w:r w:rsidRPr="00A94583">
              <w:rPr>
                <w:b/>
                <w:u w:val="single"/>
              </w:rPr>
              <w:t xml:space="preserve">,00 динара </w:t>
            </w:r>
          </w:p>
        </w:tc>
      </w:tr>
      <w:tr w:rsidR="00AA3D45" w:rsidRPr="00A94583" w:rsidTr="00C22A85">
        <w:trPr>
          <w:tblCellSpacing w:w="0" w:type="dxa"/>
        </w:trPr>
        <w:tc>
          <w:tcPr>
            <w:tcW w:w="0" w:type="auto"/>
          </w:tcPr>
          <w:p w:rsidR="00AA3D45" w:rsidRPr="00790C0C" w:rsidRDefault="00AA3D45" w:rsidP="00C22A85">
            <w:pPr>
              <w:rPr>
                <w:b/>
                <w:u w:val="single"/>
                <w:lang w:val="sr-Cyrl-RS"/>
              </w:rPr>
            </w:pPr>
          </w:p>
        </w:tc>
        <w:tc>
          <w:tcPr>
            <w:tcW w:w="0" w:type="auto"/>
          </w:tcPr>
          <w:p w:rsidR="00AA3D45" w:rsidRPr="00790C0C" w:rsidRDefault="00AA3D45" w:rsidP="00C22A85">
            <w:pPr>
              <w:rPr>
                <w:b/>
                <w:u w:val="single"/>
                <w:lang w:val="sr-Cyrl-RS"/>
              </w:rPr>
            </w:pPr>
          </w:p>
        </w:tc>
      </w:tr>
      <w:tr w:rsidR="00AA3D45" w:rsidRPr="00A94583" w:rsidTr="00C22A85">
        <w:trPr>
          <w:tblCellSpacing w:w="0" w:type="dxa"/>
        </w:trPr>
        <w:tc>
          <w:tcPr>
            <w:tcW w:w="0" w:type="auto"/>
          </w:tcPr>
          <w:p w:rsidR="00AA3D45" w:rsidRPr="00A94583" w:rsidRDefault="00AA3D45" w:rsidP="00C22A85">
            <w:pPr>
              <w:rPr>
                <w:b/>
                <w:u w:val="single"/>
              </w:rPr>
            </w:pPr>
            <w:r w:rsidRPr="00A94583">
              <w:rPr>
                <w:b/>
                <w:u w:val="single"/>
              </w:rPr>
              <w:t xml:space="preserve">- ТПЦ "Горча" </w:t>
            </w:r>
          </w:p>
        </w:tc>
        <w:tc>
          <w:tcPr>
            <w:tcW w:w="0" w:type="auto"/>
          </w:tcPr>
          <w:p w:rsidR="00AA3D45" w:rsidRPr="00A94583" w:rsidRDefault="00AA3D45" w:rsidP="00C22A85">
            <w:pPr>
              <w:jc w:val="center"/>
              <w:rPr>
                <w:b/>
                <w:u w:val="single"/>
              </w:rPr>
            </w:pPr>
            <w:r w:rsidRPr="00A94583">
              <w:rPr>
                <w:b/>
                <w:u w:val="single"/>
              </w:rPr>
              <w:t xml:space="preserve"> </w:t>
            </w:r>
          </w:p>
        </w:tc>
      </w:tr>
      <w:tr w:rsidR="00AA3D45" w:rsidRPr="00A94583" w:rsidTr="00C22A85">
        <w:trPr>
          <w:tblCellSpacing w:w="0" w:type="dxa"/>
        </w:trPr>
        <w:tc>
          <w:tcPr>
            <w:tcW w:w="0" w:type="auto"/>
          </w:tcPr>
          <w:p w:rsidR="00AA3D45" w:rsidRPr="00A94583" w:rsidRDefault="00AA3D45" w:rsidP="00C22A85">
            <w:pPr>
              <w:rPr>
                <w:b/>
                <w:u w:val="single"/>
              </w:rPr>
            </w:pPr>
            <w:r w:rsidRPr="00A94583">
              <w:rPr>
                <w:b/>
                <w:u w:val="single"/>
                <w:lang w:val="sr-Cyrl-RS"/>
              </w:rPr>
              <w:t>-</w:t>
            </w:r>
            <w:r w:rsidRPr="00A94583">
              <w:rPr>
                <w:b/>
                <w:u w:val="single"/>
              </w:rPr>
              <w:t xml:space="preserve">приземље </w:t>
            </w:r>
          </w:p>
        </w:tc>
        <w:tc>
          <w:tcPr>
            <w:tcW w:w="0" w:type="auto"/>
          </w:tcPr>
          <w:p w:rsidR="00AA3D45" w:rsidRPr="00A94583" w:rsidRDefault="00AA3D45" w:rsidP="00C22A85">
            <w:pPr>
              <w:jc w:val="right"/>
              <w:rPr>
                <w:b/>
                <w:u w:val="single"/>
              </w:rPr>
            </w:pPr>
            <w:r w:rsidRPr="00A94583">
              <w:rPr>
                <w:b/>
                <w:u w:val="single"/>
                <w:lang w:val="sr-Cyrl-RS"/>
              </w:rPr>
              <w:t>522</w:t>
            </w:r>
            <w:r w:rsidRPr="00A94583">
              <w:rPr>
                <w:b/>
                <w:u w:val="single"/>
              </w:rPr>
              <w:t xml:space="preserve">,00 динара </w:t>
            </w:r>
          </w:p>
        </w:tc>
      </w:tr>
      <w:tr w:rsidR="00AA3D45" w:rsidRPr="00A94583" w:rsidTr="00C22A85">
        <w:trPr>
          <w:tblCellSpacing w:w="0" w:type="dxa"/>
        </w:trPr>
        <w:tc>
          <w:tcPr>
            <w:tcW w:w="0" w:type="auto"/>
          </w:tcPr>
          <w:p w:rsidR="00AA3D45" w:rsidRPr="00A94583" w:rsidRDefault="00AA3D45" w:rsidP="00C22A85">
            <w:pPr>
              <w:rPr>
                <w:b/>
                <w:u w:val="single"/>
              </w:rPr>
            </w:pPr>
            <w:r w:rsidRPr="00A94583">
              <w:rPr>
                <w:b/>
                <w:u w:val="single"/>
                <w:lang w:val="sr-Cyrl-RS"/>
              </w:rPr>
              <w:t>-</w:t>
            </w:r>
            <w:r w:rsidRPr="00A94583">
              <w:rPr>
                <w:b/>
                <w:u w:val="single"/>
              </w:rPr>
              <w:t xml:space="preserve">мезанин </w:t>
            </w:r>
          </w:p>
        </w:tc>
        <w:tc>
          <w:tcPr>
            <w:tcW w:w="0" w:type="auto"/>
          </w:tcPr>
          <w:p w:rsidR="00AA3D45" w:rsidRPr="00A94583" w:rsidRDefault="00AA3D45" w:rsidP="00C22A85">
            <w:pPr>
              <w:jc w:val="right"/>
              <w:rPr>
                <w:b/>
                <w:u w:val="single"/>
              </w:rPr>
            </w:pPr>
            <w:r w:rsidRPr="00A94583">
              <w:rPr>
                <w:b/>
                <w:u w:val="single"/>
                <w:lang w:val="sr-Cyrl-RS"/>
              </w:rPr>
              <w:t>496</w:t>
            </w:r>
            <w:r w:rsidRPr="00A94583">
              <w:rPr>
                <w:b/>
                <w:u w:val="single"/>
              </w:rPr>
              <w:t xml:space="preserve">,00 динара </w:t>
            </w:r>
          </w:p>
        </w:tc>
      </w:tr>
      <w:tr w:rsidR="00AA3D45" w:rsidRPr="00A94583" w:rsidTr="00C22A85">
        <w:trPr>
          <w:tblCellSpacing w:w="0" w:type="dxa"/>
        </w:trPr>
        <w:tc>
          <w:tcPr>
            <w:tcW w:w="0" w:type="auto"/>
          </w:tcPr>
          <w:p w:rsidR="00AA3D45" w:rsidRPr="00A94583" w:rsidRDefault="00AA3D45" w:rsidP="00C22A85">
            <w:pPr>
              <w:rPr>
                <w:b/>
                <w:u w:val="single"/>
              </w:rPr>
            </w:pPr>
            <w:r w:rsidRPr="00A94583">
              <w:rPr>
                <w:b/>
                <w:u w:val="single"/>
                <w:lang w:val="sr-Cyrl-RS"/>
              </w:rPr>
              <w:t>-</w:t>
            </w:r>
            <w:r w:rsidRPr="00A94583">
              <w:rPr>
                <w:b/>
                <w:u w:val="single"/>
              </w:rPr>
              <w:t xml:space="preserve">I спрат </w:t>
            </w:r>
          </w:p>
        </w:tc>
        <w:tc>
          <w:tcPr>
            <w:tcW w:w="0" w:type="auto"/>
          </w:tcPr>
          <w:p w:rsidR="00AA3D45" w:rsidRPr="00A94583" w:rsidRDefault="00AA3D45" w:rsidP="00C22A85">
            <w:pPr>
              <w:jc w:val="right"/>
              <w:rPr>
                <w:b/>
                <w:u w:val="single"/>
              </w:rPr>
            </w:pPr>
            <w:r w:rsidRPr="00A94583">
              <w:rPr>
                <w:b/>
                <w:u w:val="single"/>
                <w:lang w:val="sr-Cyrl-RS"/>
              </w:rPr>
              <w:t>457</w:t>
            </w:r>
            <w:r w:rsidRPr="00A94583">
              <w:rPr>
                <w:b/>
                <w:u w:val="single"/>
              </w:rPr>
              <w:t xml:space="preserve">,00 динара </w:t>
            </w:r>
          </w:p>
        </w:tc>
      </w:tr>
      <w:tr w:rsidR="00AA3D45" w:rsidRPr="00A94583" w:rsidTr="00C22A85">
        <w:trPr>
          <w:tblCellSpacing w:w="0" w:type="dxa"/>
        </w:trPr>
        <w:tc>
          <w:tcPr>
            <w:tcW w:w="0" w:type="auto"/>
          </w:tcPr>
          <w:p w:rsidR="00AA3D45" w:rsidRPr="00A94583" w:rsidRDefault="00AA3D45" w:rsidP="00C22A85">
            <w:pPr>
              <w:rPr>
                <w:b/>
                <w:u w:val="single"/>
              </w:rPr>
            </w:pPr>
            <w:r w:rsidRPr="00A94583">
              <w:rPr>
                <w:b/>
                <w:u w:val="single"/>
                <w:lang w:val="sr-Cyrl-RS"/>
              </w:rPr>
              <w:t>-</w:t>
            </w:r>
            <w:r w:rsidRPr="00A94583">
              <w:rPr>
                <w:b/>
                <w:u w:val="single"/>
              </w:rPr>
              <w:t xml:space="preserve">II спрат </w:t>
            </w:r>
          </w:p>
        </w:tc>
        <w:tc>
          <w:tcPr>
            <w:tcW w:w="0" w:type="auto"/>
          </w:tcPr>
          <w:p w:rsidR="00AA3D45" w:rsidRPr="00A94583" w:rsidRDefault="00AA3D45" w:rsidP="00C22A85">
            <w:pPr>
              <w:jc w:val="right"/>
              <w:rPr>
                <w:b/>
                <w:u w:val="single"/>
              </w:rPr>
            </w:pPr>
            <w:r w:rsidRPr="00A94583">
              <w:rPr>
                <w:b/>
                <w:u w:val="single"/>
              </w:rPr>
              <w:t>3</w:t>
            </w:r>
            <w:r w:rsidRPr="00A94583">
              <w:rPr>
                <w:b/>
                <w:u w:val="single"/>
                <w:lang w:val="sr-Cyrl-RS"/>
              </w:rPr>
              <w:t>92</w:t>
            </w:r>
            <w:r w:rsidRPr="00A94583">
              <w:rPr>
                <w:b/>
                <w:u w:val="single"/>
              </w:rPr>
              <w:t xml:space="preserve">,00 динара </w:t>
            </w:r>
          </w:p>
        </w:tc>
      </w:tr>
      <w:tr w:rsidR="00AA3D45" w:rsidRPr="00A94583" w:rsidTr="00C22A85">
        <w:trPr>
          <w:tblCellSpacing w:w="0" w:type="dxa"/>
        </w:trPr>
        <w:tc>
          <w:tcPr>
            <w:tcW w:w="0" w:type="auto"/>
          </w:tcPr>
          <w:p w:rsidR="00AA3D45" w:rsidRPr="00A94583" w:rsidRDefault="00AA3D45" w:rsidP="00C22A85">
            <w:pPr>
              <w:rPr>
                <w:b/>
                <w:u w:val="single"/>
              </w:rPr>
            </w:pPr>
            <w:r w:rsidRPr="00A94583">
              <w:rPr>
                <w:b/>
                <w:u w:val="single"/>
                <w:lang w:val="sr-Cyrl-RS"/>
              </w:rPr>
              <w:t>-</w:t>
            </w:r>
            <w:r w:rsidRPr="00A94583">
              <w:rPr>
                <w:b/>
                <w:u w:val="single"/>
              </w:rPr>
              <w:t xml:space="preserve">III спрат </w:t>
            </w:r>
          </w:p>
        </w:tc>
        <w:tc>
          <w:tcPr>
            <w:tcW w:w="0" w:type="auto"/>
          </w:tcPr>
          <w:p w:rsidR="00AA3D45" w:rsidRPr="00A94583" w:rsidRDefault="00AA3D45" w:rsidP="00C22A85">
            <w:pPr>
              <w:jc w:val="right"/>
              <w:rPr>
                <w:b/>
                <w:u w:val="single"/>
              </w:rPr>
            </w:pPr>
            <w:r w:rsidRPr="00A94583">
              <w:rPr>
                <w:b/>
                <w:u w:val="single"/>
                <w:lang w:val="sr-Cyrl-RS"/>
              </w:rPr>
              <w:t>327</w:t>
            </w:r>
            <w:r w:rsidRPr="00A94583">
              <w:rPr>
                <w:b/>
                <w:u w:val="single"/>
              </w:rPr>
              <w:t xml:space="preserve">,00 динара </w:t>
            </w:r>
          </w:p>
        </w:tc>
      </w:tr>
      <w:tr w:rsidR="00AA3D45" w:rsidRPr="00A94583" w:rsidTr="00C22A85">
        <w:trPr>
          <w:tblCellSpacing w:w="0" w:type="dxa"/>
        </w:trPr>
        <w:tc>
          <w:tcPr>
            <w:tcW w:w="0" w:type="auto"/>
          </w:tcPr>
          <w:p w:rsidR="00AA3D45" w:rsidRPr="00A94583" w:rsidRDefault="00AA3D45" w:rsidP="00C22A85">
            <w:pPr>
              <w:rPr>
                <w:b/>
                <w:u w:val="single"/>
              </w:rPr>
            </w:pPr>
            <w:r w:rsidRPr="00A94583">
              <w:rPr>
                <w:b/>
                <w:u w:val="single"/>
                <w:lang w:val="sr-Cyrl-RS"/>
              </w:rPr>
              <w:t>-</w:t>
            </w:r>
            <w:r w:rsidRPr="00A94583">
              <w:rPr>
                <w:b/>
                <w:u w:val="single"/>
              </w:rPr>
              <w:t xml:space="preserve">поткровље </w:t>
            </w:r>
          </w:p>
        </w:tc>
        <w:tc>
          <w:tcPr>
            <w:tcW w:w="0" w:type="auto"/>
          </w:tcPr>
          <w:p w:rsidR="00AA3D45" w:rsidRPr="00A94583" w:rsidRDefault="00AA3D45" w:rsidP="00C22A85">
            <w:pPr>
              <w:jc w:val="right"/>
              <w:rPr>
                <w:b/>
                <w:u w:val="single"/>
              </w:rPr>
            </w:pPr>
            <w:r w:rsidRPr="00A94583">
              <w:rPr>
                <w:b/>
                <w:u w:val="single"/>
              </w:rPr>
              <w:t>2</w:t>
            </w:r>
            <w:r w:rsidRPr="00A94583">
              <w:rPr>
                <w:b/>
                <w:u w:val="single"/>
                <w:lang w:val="sr-Cyrl-RS"/>
              </w:rPr>
              <w:t>87</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382A42" w:rsidRDefault="00AA3D45" w:rsidP="00C22A85">
            <w:pPr>
              <w:rPr>
                <w:b/>
                <w:u w:val="single"/>
                <w:lang w:val="sr-Cyrl-RS"/>
              </w:rPr>
            </w:pPr>
          </w:p>
        </w:tc>
        <w:tc>
          <w:tcPr>
            <w:tcW w:w="0" w:type="auto"/>
            <w:vAlign w:val="center"/>
          </w:tcPr>
          <w:p w:rsidR="00AA3D45" w:rsidRPr="00382A42" w:rsidRDefault="00AA3D45" w:rsidP="00C22A85">
            <w:pPr>
              <w:rPr>
                <w:b/>
                <w:u w:val="single"/>
                <w:lang w:val="sr-Cyrl-RS"/>
              </w:rPr>
            </w:pP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rPr>
              <w:t xml:space="preserve">- Екстра зона </w:t>
            </w:r>
          </w:p>
        </w:tc>
        <w:tc>
          <w:tcPr>
            <w:tcW w:w="0" w:type="auto"/>
            <w:vAlign w:val="center"/>
          </w:tcPr>
          <w:p w:rsidR="00AA3D45" w:rsidRPr="00A94583" w:rsidRDefault="00AA3D45" w:rsidP="00C22A85">
            <w:pPr>
              <w:jc w:val="right"/>
              <w:rPr>
                <w:b/>
                <w:u w:val="single"/>
              </w:rPr>
            </w:pPr>
            <w:r w:rsidRPr="00A94583">
              <w:rPr>
                <w:b/>
                <w:u w:val="single"/>
                <w:lang w:val="sr-Cyrl-RS"/>
              </w:rPr>
              <w:t>427</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rPr>
              <w:t xml:space="preserve">- I зона </w:t>
            </w:r>
          </w:p>
        </w:tc>
        <w:tc>
          <w:tcPr>
            <w:tcW w:w="0" w:type="auto"/>
            <w:vAlign w:val="center"/>
          </w:tcPr>
          <w:p w:rsidR="00AA3D45" w:rsidRPr="00A94583" w:rsidRDefault="00AA3D45" w:rsidP="00C22A85">
            <w:pPr>
              <w:jc w:val="right"/>
              <w:rPr>
                <w:b/>
                <w:u w:val="single"/>
              </w:rPr>
            </w:pPr>
            <w:r w:rsidRPr="00A94583">
              <w:rPr>
                <w:b/>
                <w:u w:val="single"/>
                <w:lang w:val="sr-Cyrl-RS"/>
              </w:rPr>
              <w:t>356</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rPr>
              <w:t xml:space="preserve">- II зона </w:t>
            </w:r>
          </w:p>
        </w:tc>
        <w:tc>
          <w:tcPr>
            <w:tcW w:w="0" w:type="auto"/>
            <w:vAlign w:val="center"/>
          </w:tcPr>
          <w:p w:rsidR="00AA3D45" w:rsidRPr="00A94583" w:rsidRDefault="00AA3D45" w:rsidP="00C22A85">
            <w:pPr>
              <w:jc w:val="right"/>
              <w:rPr>
                <w:b/>
                <w:u w:val="single"/>
              </w:rPr>
            </w:pPr>
            <w:r w:rsidRPr="00A94583">
              <w:rPr>
                <w:b/>
                <w:u w:val="single"/>
              </w:rPr>
              <w:t>2</w:t>
            </w:r>
            <w:r w:rsidRPr="00A94583">
              <w:rPr>
                <w:b/>
                <w:u w:val="single"/>
                <w:lang w:val="sr-Cyrl-RS"/>
              </w:rPr>
              <w:t>85</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rPr>
              <w:t xml:space="preserve">- III зона </w:t>
            </w:r>
          </w:p>
        </w:tc>
        <w:tc>
          <w:tcPr>
            <w:tcW w:w="0" w:type="auto"/>
            <w:vAlign w:val="center"/>
          </w:tcPr>
          <w:p w:rsidR="00AA3D45" w:rsidRPr="00A94583" w:rsidRDefault="00AA3D45" w:rsidP="00C22A85">
            <w:pPr>
              <w:jc w:val="right"/>
              <w:rPr>
                <w:b/>
                <w:u w:val="single"/>
              </w:rPr>
            </w:pPr>
            <w:r w:rsidRPr="00A94583">
              <w:rPr>
                <w:b/>
                <w:u w:val="single"/>
              </w:rPr>
              <w:t>1</w:t>
            </w:r>
            <w:r w:rsidRPr="00A94583">
              <w:rPr>
                <w:b/>
                <w:u w:val="single"/>
                <w:lang w:val="sr-Cyrl-RS"/>
              </w:rPr>
              <w:t>71</w:t>
            </w:r>
            <w:r w:rsidRPr="00A94583">
              <w:rPr>
                <w:b/>
                <w:u w:val="single"/>
              </w:rPr>
              <w:t xml:space="preserve">,00 динара </w:t>
            </w:r>
          </w:p>
        </w:tc>
      </w:tr>
      <w:tr w:rsidR="00AA3D45" w:rsidRPr="00A94583" w:rsidTr="00C22A85">
        <w:trPr>
          <w:tblCellSpacing w:w="0" w:type="dxa"/>
        </w:trPr>
        <w:tc>
          <w:tcPr>
            <w:tcW w:w="0" w:type="auto"/>
            <w:vAlign w:val="center"/>
          </w:tcPr>
          <w:p w:rsidR="00AA3D45" w:rsidRPr="00A94583" w:rsidRDefault="00AA3D45" w:rsidP="00C22A85">
            <w:pPr>
              <w:rPr>
                <w:b/>
                <w:u w:val="single"/>
              </w:rPr>
            </w:pPr>
            <w:r w:rsidRPr="00A94583">
              <w:rPr>
                <w:b/>
                <w:u w:val="single"/>
              </w:rPr>
              <w:t xml:space="preserve">- IV зона </w:t>
            </w:r>
          </w:p>
        </w:tc>
        <w:tc>
          <w:tcPr>
            <w:tcW w:w="0" w:type="auto"/>
            <w:vAlign w:val="center"/>
          </w:tcPr>
          <w:p w:rsidR="00AA3D45" w:rsidRPr="00A94583" w:rsidRDefault="00AA3D45" w:rsidP="00C22A85">
            <w:pPr>
              <w:jc w:val="right"/>
              <w:rPr>
                <w:b/>
                <w:u w:val="single"/>
              </w:rPr>
            </w:pPr>
            <w:r w:rsidRPr="00A94583">
              <w:rPr>
                <w:b/>
                <w:u w:val="single"/>
                <w:lang w:val="sr-Cyrl-RS"/>
              </w:rPr>
              <w:t>128</w:t>
            </w:r>
            <w:r w:rsidRPr="00A94583">
              <w:rPr>
                <w:b/>
                <w:u w:val="single"/>
              </w:rPr>
              <w:t xml:space="preserve">,00 динара </w:t>
            </w:r>
          </w:p>
        </w:tc>
      </w:tr>
      <w:tr w:rsidR="00AA3D45" w:rsidRPr="00A94583" w:rsidTr="00C22A85">
        <w:trPr>
          <w:tblCellSpacing w:w="0" w:type="dxa"/>
        </w:trPr>
        <w:tc>
          <w:tcPr>
            <w:tcW w:w="0" w:type="auto"/>
            <w:tcBorders>
              <w:bottom w:val="single" w:sz="2" w:space="0" w:color="000000"/>
            </w:tcBorders>
            <w:vAlign w:val="center"/>
          </w:tcPr>
          <w:p w:rsidR="00AA3D45" w:rsidRPr="00A94583" w:rsidRDefault="00AA3D45" w:rsidP="00C22A85">
            <w:pPr>
              <w:rPr>
                <w:b/>
                <w:u w:val="single"/>
              </w:rPr>
            </w:pPr>
            <w:r w:rsidRPr="00A94583">
              <w:rPr>
                <w:b/>
                <w:u w:val="single"/>
              </w:rPr>
              <w:t xml:space="preserve">- V зона </w:t>
            </w:r>
          </w:p>
        </w:tc>
        <w:tc>
          <w:tcPr>
            <w:tcW w:w="0" w:type="auto"/>
            <w:tcBorders>
              <w:bottom w:val="single" w:sz="2" w:space="0" w:color="000000"/>
            </w:tcBorders>
            <w:vAlign w:val="center"/>
          </w:tcPr>
          <w:p w:rsidR="00AA3D45" w:rsidRPr="00A94583" w:rsidRDefault="00AA3D45" w:rsidP="00C22A85">
            <w:pPr>
              <w:jc w:val="right"/>
              <w:rPr>
                <w:b/>
                <w:u w:val="single"/>
              </w:rPr>
            </w:pPr>
            <w:r w:rsidRPr="00A94583">
              <w:rPr>
                <w:b/>
                <w:u w:val="single"/>
                <w:lang w:val="sr-Cyrl-RS"/>
              </w:rPr>
              <w:t>100</w:t>
            </w:r>
            <w:r w:rsidRPr="00A94583">
              <w:rPr>
                <w:b/>
                <w:u w:val="single"/>
              </w:rPr>
              <w:t xml:space="preserve">,00 динара </w:t>
            </w:r>
          </w:p>
        </w:tc>
      </w:tr>
    </w:tbl>
    <w:p w:rsidR="00AA3D45" w:rsidRPr="00A94583" w:rsidRDefault="00AA3D45" w:rsidP="00AA3D45">
      <w:pPr>
        <w:jc w:val="center"/>
        <w:rPr>
          <w:b/>
          <w:bCs/>
          <w:u w:val="single"/>
          <w:lang w:val="sr-Cyrl-RS"/>
        </w:rPr>
      </w:pPr>
      <w:bookmarkStart w:id="5" w:name="str_12"/>
      <w:bookmarkEnd w:id="5"/>
    </w:p>
    <w:p w:rsidR="00AA3D45" w:rsidRPr="00A94583" w:rsidRDefault="00AA3D45" w:rsidP="00AA3D45">
      <w:pPr>
        <w:jc w:val="center"/>
        <w:rPr>
          <w:b/>
          <w:bCs/>
          <w:u w:val="single"/>
          <w:lang w:val="sr-Cyrl-RS"/>
        </w:rPr>
      </w:pPr>
    </w:p>
    <w:p w:rsidR="00AA3D45" w:rsidRPr="00A94583" w:rsidRDefault="00AA3D45" w:rsidP="00AA3D45">
      <w:pPr>
        <w:jc w:val="center"/>
        <w:rPr>
          <w:b/>
          <w:bCs/>
          <w:u w:val="single"/>
          <w:lang w:val="sr-Cyrl-RS"/>
        </w:rPr>
      </w:pP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68.</w:t>
      </w:r>
    </w:p>
    <w:p w:rsidR="00AA3D45" w:rsidRPr="00A94583" w:rsidRDefault="00AA3D45" w:rsidP="00AA3D45">
      <w:pPr>
        <w:jc w:val="center"/>
        <w:rPr>
          <w:b/>
          <w:bCs/>
          <w:u w:val="single"/>
          <w:lang w:val="sr-Cyrl-RS"/>
        </w:rPr>
      </w:pPr>
    </w:p>
    <w:p w:rsidR="00AA3D45" w:rsidRPr="00360F0F" w:rsidRDefault="00AA3D45" w:rsidP="00AA3D45">
      <w:pPr>
        <w:ind w:firstLine="720"/>
        <w:jc w:val="both"/>
        <w:rPr>
          <w:b/>
          <w:u w:val="single"/>
          <w:lang w:val="ru-RU"/>
        </w:rPr>
      </w:pPr>
      <w:r w:rsidRPr="00360F0F">
        <w:rPr>
          <w:b/>
          <w:u w:val="single"/>
          <w:lang w:val="ru-RU"/>
        </w:rPr>
        <w:t xml:space="preserve">Износ закупнине за непокретне ствари  у јавној својини Града које се дају у закуп </w:t>
      </w:r>
      <w:r w:rsidRPr="00360F0F">
        <w:rPr>
          <w:b/>
          <w:u w:val="single"/>
        </w:rPr>
        <w:t>непосредном погодбом</w:t>
      </w:r>
      <w:r w:rsidRPr="00360F0F">
        <w:rPr>
          <w:b/>
          <w:u w:val="single"/>
          <w:lang w:val="ru-RU"/>
        </w:rPr>
        <w:t xml:space="preserve"> утврђује се применом критеријума и мерила из ове Одлуке.  </w:t>
      </w:r>
    </w:p>
    <w:p w:rsidR="00AA3D45" w:rsidRPr="00360F0F" w:rsidRDefault="00AA3D45" w:rsidP="00AA3D45">
      <w:pPr>
        <w:ind w:firstLine="720"/>
        <w:jc w:val="both"/>
        <w:rPr>
          <w:b/>
          <w:u w:val="single"/>
        </w:rPr>
      </w:pPr>
      <w:r w:rsidRPr="00360F0F">
        <w:rPr>
          <w:b/>
          <w:u w:val="single"/>
          <w:lang w:val="ru-RU"/>
        </w:rPr>
        <w:t xml:space="preserve">Почетни износ закупнине у поступку давања пословног простора Града у закуп јавним надметањем и прикупљањем писаних понуда утврђује се на основу критеријума и мерила из ове Одлуке.  </w:t>
      </w:r>
    </w:p>
    <w:p w:rsidR="00AA3D45" w:rsidRPr="00360F0F" w:rsidRDefault="00AA3D45" w:rsidP="00AA3D45">
      <w:pPr>
        <w:ind w:firstLine="720"/>
        <w:jc w:val="both"/>
        <w:rPr>
          <w:b/>
          <w:u w:val="single"/>
          <w:lang w:val="ru-RU"/>
        </w:rPr>
      </w:pPr>
      <w:r w:rsidRPr="00360F0F">
        <w:rPr>
          <w:b/>
          <w:u w:val="single"/>
          <w:lang w:val="ru-RU"/>
        </w:rPr>
        <w:t xml:space="preserve">У случају да пословни простор  није дат у закуп после првог  јавног надметања, односно прикупљања писаних понуда, због недовољног броја учесника огласа, Управа  почетни износ закупнине приликом наредног оглашавања умањује за 25%. </w:t>
      </w:r>
    </w:p>
    <w:p w:rsidR="00AA3D45" w:rsidRPr="00360F0F" w:rsidRDefault="00AA3D45" w:rsidP="00AA3D45">
      <w:pPr>
        <w:ind w:firstLine="720"/>
        <w:jc w:val="both"/>
        <w:rPr>
          <w:b/>
          <w:u w:val="single"/>
          <w:lang w:val="ru-RU"/>
        </w:rPr>
      </w:pPr>
      <w:r w:rsidRPr="00360F0F">
        <w:rPr>
          <w:b/>
          <w:u w:val="single"/>
          <w:lang w:val="ru-RU"/>
        </w:rPr>
        <w:lastRenderedPageBreak/>
        <w:t>Уколико пословни простор није дат у закуп ни после два јавна надметања, односно прикупљања писаних понуда, због недовољног броја учесника огласа, управа надлежна за имовину почетни износ закупнине приликом наредног оглашавања умањује за 50%.</w:t>
      </w:r>
    </w:p>
    <w:p w:rsidR="00AA3D45" w:rsidRPr="00360F0F" w:rsidRDefault="00AA3D45" w:rsidP="00AA3D45">
      <w:pPr>
        <w:jc w:val="center"/>
        <w:rPr>
          <w:b/>
          <w:bCs/>
          <w:u w:val="single"/>
          <w:lang w:val="sr-Cyrl-RS"/>
        </w:rPr>
      </w:pPr>
    </w:p>
    <w:p w:rsidR="00AA3D45" w:rsidRPr="00360F0F" w:rsidRDefault="00AA3D45" w:rsidP="00AA3D45">
      <w:pPr>
        <w:pStyle w:val="NoSpacing"/>
        <w:jc w:val="both"/>
        <w:rPr>
          <w:rFonts w:ascii="Times New Roman" w:hAnsi="Times New Roman" w:cs="Times New Roman"/>
          <w:b/>
          <w:sz w:val="24"/>
          <w:szCs w:val="24"/>
          <w:u w:val="single"/>
          <w:lang w:val="sr-Latn-CS"/>
        </w:rPr>
      </w:pPr>
    </w:p>
    <w:p w:rsidR="00AA3D45" w:rsidRDefault="00AA3D45" w:rsidP="00AA3D45">
      <w:pPr>
        <w:pStyle w:val="No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7</w:t>
      </w:r>
      <w:r>
        <w:rPr>
          <w:rFonts w:ascii="Times New Roman" w:hAnsi="Times New Roman" w:cs="Times New Roman"/>
          <w:bCs/>
          <w:sz w:val="24"/>
          <w:szCs w:val="24"/>
          <w:lang w:val="sr-Cyrl-CS"/>
        </w:rPr>
        <w:t>1</w:t>
      </w:r>
      <w:r>
        <w:rPr>
          <w:rFonts w:ascii="Times New Roman" w:hAnsi="Times New Roman" w:cs="Times New Roman"/>
          <w:bCs/>
          <w:sz w:val="24"/>
          <w:szCs w:val="24"/>
          <w:lang w:val="ru-RU"/>
        </w:rPr>
        <w:t>.</w:t>
      </w:r>
    </w:p>
    <w:p w:rsidR="00AA3D45" w:rsidRDefault="00AA3D45" w:rsidP="00AA3D45">
      <w:pPr>
        <w:pStyle w:val="NoSpacing"/>
        <w:ind w:firstLine="720"/>
        <w:jc w:val="both"/>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 xml:space="preserve">У непокретним стварима у јавној својини Града, не могу се обављати делатности приређивања забавних игара и игара на срећу. </w:t>
      </w:r>
    </w:p>
    <w:p w:rsidR="00AA3D45" w:rsidRDefault="00AA3D45" w:rsidP="00AA3D45">
      <w:pPr>
        <w:pStyle w:val="NoSpacing"/>
        <w:jc w:val="both"/>
        <w:rPr>
          <w:rFonts w:ascii="Times New Roman" w:hAnsi="Times New Roman" w:cs="Times New Roman"/>
          <w:b/>
          <w:sz w:val="24"/>
          <w:szCs w:val="24"/>
          <w:u w:val="single"/>
          <w:lang w:val="sr-Latn-CS"/>
        </w:rPr>
      </w:pPr>
    </w:p>
    <w:p w:rsidR="00AA3D45" w:rsidRPr="0021360D" w:rsidRDefault="00AA3D45" w:rsidP="00AA3D45">
      <w:pPr>
        <w:autoSpaceDE w:val="0"/>
        <w:autoSpaceDN w:val="0"/>
        <w:adjustRightInd w:val="0"/>
        <w:jc w:val="center"/>
        <w:rPr>
          <w:rFonts w:ascii="Arial" w:hAnsi="Arial" w:cs="Arial"/>
          <w:b/>
          <w:bCs/>
        </w:rPr>
      </w:pPr>
    </w:p>
    <w:p w:rsidR="00AA3D45" w:rsidRPr="0021360D" w:rsidRDefault="00AA3D45" w:rsidP="00AA3D45">
      <w:pPr>
        <w:autoSpaceDE w:val="0"/>
        <w:autoSpaceDN w:val="0"/>
        <w:adjustRightInd w:val="0"/>
        <w:jc w:val="center"/>
        <w:rPr>
          <w:rFonts w:ascii="Arial" w:hAnsi="Arial" w:cs="Arial"/>
        </w:rPr>
      </w:pPr>
    </w:p>
    <w:p w:rsidR="00AA3D45" w:rsidRDefault="00AA3D45" w:rsidP="00AA3D45"/>
    <w:p w:rsidR="00DA6D22" w:rsidRDefault="00DA6D22">
      <w:bookmarkStart w:id="6" w:name="_GoBack"/>
      <w:bookmarkEnd w:id="6"/>
    </w:p>
    <w:sectPr w:rsidR="00DA6D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45"/>
    <w:rsid w:val="00190866"/>
    <w:rsid w:val="00340DC2"/>
    <w:rsid w:val="00761FFF"/>
    <w:rsid w:val="008361FC"/>
    <w:rsid w:val="008B5460"/>
    <w:rsid w:val="00AA3D45"/>
    <w:rsid w:val="00B12B72"/>
    <w:rsid w:val="00BF43B8"/>
    <w:rsid w:val="00C1499B"/>
    <w:rsid w:val="00D61F16"/>
    <w:rsid w:val="00DA6D22"/>
    <w:rsid w:val="00F8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D45"/>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D45"/>
    <w:pPr>
      <w:spacing w:after="0" w:line="240" w:lineRule="auto"/>
    </w:pPr>
  </w:style>
  <w:style w:type="paragraph" w:styleId="NormalWeb">
    <w:name w:val="Normal (Web)"/>
    <w:basedOn w:val="Normal"/>
    <w:uiPriority w:val="99"/>
    <w:rsid w:val="00AA3D45"/>
    <w:pPr>
      <w:spacing w:before="100" w:beforeAutospacing="1" w:after="119"/>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D45"/>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D45"/>
    <w:pPr>
      <w:spacing w:after="0" w:line="240" w:lineRule="auto"/>
    </w:pPr>
  </w:style>
  <w:style w:type="paragraph" w:styleId="NormalWeb">
    <w:name w:val="Normal (Web)"/>
    <w:basedOn w:val="Normal"/>
    <w:uiPriority w:val="99"/>
    <w:rsid w:val="00AA3D45"/>
    <w:pPr>
      <w:spacing w:before="100" w:beforeAutospacing="1" w:after="11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Ilić</dc:creator>
  <cp:lastModifiedBy>Maja Ilić</cp:lastModifiedBy>
  <cp:revision>1</cp:revision>
  <dcterms:created xsi:type="dcterms:W3CDTF">2015-09-17T11:51:00Z</dcterms:created>
  <dcterms:modified xsi:type="dcterms:W3CDTF">2015-09-17T11:52:00Z</dcterms:modified>
</cp:coreProperties>
</file>